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F5E401" w14:textId="77777777" w:rsidR="008F7D98" w:rsidRPr="008064B9" w:rsidRDefault="005F03F2" w:rsidP="009A319A">
      <w:pPr>
        <w:ind w:firstLine="454"/>
        <w:jc w:val="center"/>
        <w:rPr>
          <w:rFonts w:cs="Times New Roman"/>
          <w:b/>
          <w:sz w:val="40"/>
          <w:szCs w:val="40"/>
        </w:rPr>
      </w:pPr>
      <w:r w:rsidRPr="00AA573E">
        <w:rPr>
          <w:rFonts w:cs="Times New Roman"/>
          <w:b/>
          <w:sz w:val="40"/>
          <w:szCs w:val="40"/>
        </w:rPr>
        <w:t xml:space="preserve">Le </w:t>
      </w:r>
      <w:r w:rsidRPr="008064B9">
        <w:rPr>
          <w:rFonts w:cs="Times New Roman"/>
          <w:b/>
          <w:sz w:val="40"/>
          <w:szCs w:val="40"/>
        </w:rPr>
        <w:t>“prassi legittime” come</w:t>
      </w:r>
      <w:r w:rsidR="008F7D98" w:rsidRPr="008064B9">
        <w:rPr>
          <w:rFonts w:cs="Times New Roman"/>
          <w:b/>
          <w:sz w:val="40"/>
          <w:szCs w:val="40"/>
        </w:rPr>
        <w:t xml:space="preserve"> </w:t>
      </w:r>
      <w:r w:rsidRPr="008064B9">
        <w:rPr>
          <w:rFonts w:cs="Times New Roman"/>
          <w:b/>
          <w:sz w:val="40"/>
          <w:szCs w:val="40"/>
        </w:rPr>
        <w:t>limite</w:t>
      </w:r>
      <w:r w:rsidR="008F7D98" w:rsidRPr="008064B9">
        <w:rPr>
          <w:rFonts w:cs="Times New Roman"/>
          <w:b/>
          <w:sz w:val="40"/>
          <w:szCs w:val="40"/>
        </w:rPr>
        <w:t xml:space="preserve"> negativo del delitto di manipolazione di mercato</w:t>
      </w:r>
    </w:p>
    <w:sdt>
      <w:sdtPr>
        <w:rPr>
          <w:rFonts w:asciiTheme="minorHAnsi" w:eastAsiaTheme="minorEastAsia" w:hAnsiTheme="minorHAnsi" w:cstheme="minorBidi"/>
          <w:b w:val="0"/>
          <w:bCs w:val="0"/>
          <w:sz w:val="24"/>
          <w:szCs w:val="24"/>
        </w:rPr>
        <w:id w:val="1984197272"/>
        <w:docPartObj>
          <w:docPartGallery w:val="Table of Contents"/>
          <w:docPartUnique/>
        </w:docPartObj>
      </w:sdtPr>
      <w:sdtEndPr>
        <w:rPr>
          <w:rFonts w:ascii="Times New Roman" w:hAnsi="Times New Roman"/>
          <w:noProof/>
        </w:rPr>
      </w:sdtEndPr>
      <w:sdtContent>
        <w:p w14:paraId="6138E1D6" w14:textId="77777777" w:rsidR="001A6F11" w:rsidRPr="00503E76" w:rsidRDefault="001A6F11" w:rsidP="00075F52">
          <w:pPr>
            <w:pStyle w:val="Titolosommario"/>
            <w:spacing w:after="100" w:afterAutospacing="1"/>
          </w:pPr>
          <w:r w:rsidRPr="00503E76">
            <w:t>Sommario</w:t>
          </w:r>
        </w:p>
        <w:p w14:paraId="106AECBB" w14:textId="77777777" w:rsidR="00FB3862" w:rsidRDefault="00503E76">
          <w:pPr>
            <w:pStyle w:val="Sommario1"/>
            <w:rPr>
              <w:rFonts w:asciiTheme="minorHAnsi" w:hAnsiTheme="minorHAnsi"/>
              <w:b w:val="0"/>
              <w:noProof/>
              <w:sz w:val="24"/>
              <w:szCs w:val="24"/>
              <w:lang w:val="en-US" w:eastAsia="ja-JP"/>
            </w:rPr>
          </w:pPr>
          <w:r>
            <w:fldChar w:fldCharType="begin"/>
          </w:r>
          <w:r>
            <w:instrText xml:space="preserve"> TOC \o "1-6" </w:instrText>
          </w:r>
          <w:r>
            <w:fldChar w:fldCharType="separate"/>
          </w:r>
          <w:r w:rsidR="00FB3862">
            <w:rPr>
              <w:noProof/>
            </w:rPr>
            <w:t>Introduzione</w:t>
          </w:r>
          <w:r w:rsidR="00FB3862">
            <w:rPr>
              <w:noProof/>
            </w:rPr>
            <w:tab/>
          </w:r>
          <w:r w:rsidR="00FB3862">
            <w:rPr>
              <w:noProof/>
            </w:rPr>
            <w:fldChar w:fldCharType="begin"/>
          </w:r>
          <w:r w:rsidR="00FB3862">
            <w:rPr>
              <w:noProof/>
            </w:rPr>
            <w:instrText xml:space="preserve"> PAGEREF _Toc272493045 \h </w:instrText>
          </w:r>
          <w:r w:rsidR="00FB3862">
            <w:rPr>
              <w:noProof/>
            </w:rPr>
          </w:r>
          <w:r w:rsidR="00FB3862">
            <w:rPr>
              <w:noProof/>
            </w:rPr>
            <w:fldChar w:fldCharType="separate"/>
          </w:r>
          <w:r w:rsidR="00FB3862">
            <w:rPr>
              <w:noProof/>
            </w:rPr>
            <w:t>I</w:t>
          </w:r>
          <w:r w:rsidR="00FB3862">
            <w:rPr>
              <w:noProof/>
            </w:rPr>
            <w:fldChar w:fldCharType="end"/>
          </w:r>
        </w:p>
        <w:p w14:paraId="7108703D" w14:textId="77777777" w:rsidR="00FB3862" w:rsidRDefault="00FB3862">
          <w:pPr>
            <w:pStyle w:val="Sommario1"/>
            <w:rPr>
              <w:rFonts w:asciiTheme="minorHAnsi" w:hAnsiTheme="minorHAnsi"/>
              <w:b w:val="0"/>
              <w:noProof/>
              <w:sz w:val="24"/>
              <w:szCs w:val="24"/>
              <w:lang w:val="en-US" w:eastAsia="ja-JP"/>
            </w:rPr>
          </w:pPr>
          <w:r>
            <w:rPr>
              <w:noProof/>
            </w:rPr>
            <w:t>Dall’aggiotaggio alla manipolazione del mercato. L’evoluzione legislativa</w:t>
          </w:r>
          <w:r>
            <w:rPr>
              <w:noProof/>
            </w:rPr>
            <w:tab/>
          </w:r>
          <w:r>
            <w:rPr>
              <w:noProof/>
            </w:rPr>
            <w:fldChar w:fldCharType="begin"/>
          </w:r>
          <w:r>
            <w:rPr>
              <w:noProof/>
            </w:rPr>
            <w:instrText xml:space="preserve"> PAGEREF _Toc272493046 \h </w:instrText>
          </w:r>
          <w:r>
            <w:rPr>
              <w:noProof/>
            </w:rPr>
          </w:r>
          <w:r>
            <w:rPr>
              <w:noProof/>
            </w:rPr>
            <w:fldChar w:fldCharType="separate"/>
          </w:r>
          <w:r>
            <w:rPr>
              <w:noProof/>
            </w:rPr>
            <w:t>1</w:t>
          </w:r>
          <w:r>
            <w:rPr>
              <w:noProof/>
            </w:rPr>
            <w:fldChar w:fldCharType="end"/>
          </w:r>
        </w:p>
        <w:p w14:paraId="6BC6B7BD" w14:textId="77777777" w:rsidR="00FB3862" w:rsidRDefault="00FB3862">
          <w:pPr>
            <w:pStyle w:val="Sommario2"/>
            <w:tabs>
              <w:tab w:val="left" w:pos="618"/>
            </w:tabs>
            <w:rPr>
              <w:rFonts w:asciiTheme="minorHAnsi" w:hAnsiTheme="minorHAnsi"/>
              <w:i w:val="0"/>
              <w:noProof/>
              <w:sz w:val="24"/>
              <w:szCs w:val="24"/>
              <w:lang w:val="en-US" w:eastAsia="ja-JP"/>
            </w:rPr>
          </w:pPr>
          <w:r>
            <w:rPr>
              <w:noProof/>
            </w:rPr>
            <w:t>1</w:t>
          </w:r>
          <w:r>
            <w:rPr>
              <w:rFonts w:asciiTheme="minorHAnsi" w:hAnsiTheme="minorHAnsi"/>
              <w:i w:val="0"/>
              <w:noProof/>
              <w:sz w:val="24"/>
              <w:szCs w:val="24"/>
              <w:lang w:val="en-US" w:eastAsia="ja-JP"/>
            </w:rPr>
            <w:tab/>
          </w:r>
          <w:r>
            <w:rPr>
              <w:noProof/>
            </w:rPr>
            <w:t>I prodromi del delitto di manipolazione di mercato. Il reato di aggiotaggio nel codice Zanardelli</w:t>
          </w:r>
          <w:r>
            <w:rPr>
              <w:noProof/>
            </w:rPr>
            <w:tab/>
          </w:r>
          <w:r>
            <w:rPr>
              <w:noProof/>
            </w:rPr>
            <w:fldChar w:fldCharType="begin"/>
          </w:r>
          <w:r>
            <w:rPr>
              <w:noProof/>
            </w:rPr>
            <w:instrText xml:space="preserve"> PAGEREF _Toc272493047 \h </w:instrText>
          </w:r>
          <w:r>
            <w:rPr>
              <w:noProof/>
            </w:rPr>
          </w:r>
          <w:r>
            <w:rPr>
              <w:noProof/>
            </w:rPr>
            <w:fldChar w:fldCharType="separate"/>
          </w:r>
          <w:r>
            <w:rPr>
              <w:noProof/>
            </w:rPr>
            <w:t>1</w:t>
          </w:r>
          <w:r>
            <w:rPr>
              <w:noProof/>
            </w:rPr>
            <w:fldChar w:fldCharType="end"/>
          </w:r>
        </w:p>
        <w:p w14:paraId="4183B6EF" w14:textId="77777777" w:rsidR="00FB3862" w:rsidRDefault="00FB3862">
          <w:pPr>
            <w:pStyle w:val="Sommario2"/>
            <w:tabs>
              <w:tab w:val="left" w:pos="618"/>
            </w:tabs>
            <w:rPr>
              <w:rFonts w:asciiTheme="minorHAnsi" w:hAnsiTheme="minorHAnsi"/>
              <w:i w:val="0"/>
              <w:noProof/>
              <w:sz w:val="24"/>
              <w:szCs w:val="24"/>
              <w:lang w:val="en-US" w:eastAsia="ja-JP"/>
            </w:rPr>
          </w:pPr>
          <w:r>
            <w:rPr>
              <w:noProof/>
            </w:rPr>
            <w:t>2</w:t>
          </w:r>
          <w:r>
            <w:rPr>
              <w:rFonts w:asciiTheme="minorHAnsi" w:hAnsiTheme="minorHAnsi"/>
              <w:i w:val="0"/>
              <w:noProof/>
              <w:sz w:val="24"/>
              <w:szCs w:val="24"/>
              <w:lang w:val="en-US" w:eastAsia="ja-JP"/>
            </w:rPr>
            <w:tab/>
          </w:r>
          <w:r>
            <w:rPr>
              <w:noProof/>
            </w:rPr>
            <w:t>Il codice Rocco. Il problema della definizione di una condotta artificiosa</w:t>
          </w:r>
          <w:r>
            <w:rPr>
              <w:noProof/>
            </w:rPr>
            <w:tab/>
          </w:r>
          <w:r>
            <w:rPr>
              <w:noProof/>
            </w:rPr>
            <w:fldChar w:fldCharType="begin"/>
          </w:r>
          <w:r>
            <w:rPr>
              <w:noProof/>
            </w:rPr>
            <w:instrText xml:space="preserve"> PAGEREF _Toc272493048 \h </w:instrText>
          </w:r>
          <w:r>
            <w:rPr>
              <w:noProof/>
            </w:rPr>
          </w:r>
          <w:r>
            <w:rPr>
              <w:noProof/>
            </w:rPr>
            <w:fldChar w:fldCharType="separate"/>
          </w:r>
          <w:r>
            <w:rPr>
              <w:noProof/>
            </w:rPr>
            <w:t>5</w:t>
          </w:r>
          <w:r>
            <w:rPr>
              <w:noProof/>
            </w:rPr>
            <w:fldChar w:fldCharType="end"/>
          </w:r>
        </w:p>
        <w:p w14:paraId="750DD09A" w14:textId="77777777" w:rsidR="00FB3862" w:rsidRDefault="00FB3862">
          <w:pPr>
            <w:pStyle w:val="Sommario2"/>
            <w:tabs>
              <w:tab w:val="left" w:pos="618"/>
            </w:tabs>
            <w:rPr>
              <w:rFonts w:asciiTheme="minorHAnsi" w:hAnsiTheme="minorHAnsi"/>
              <w:i w:val="0"/>
              <w:noProof/>
              <w:sz w:val="24"/>
              <w:szCs w:val="24"/>
              <w:lang w:val="en-US" w:eastAsia="ja-JP"/>
            </w:rPr>
          </w:pPr>
          <w:r>
            <w:rPr>
              <w:noProof/>
            </w:rPr>
            <w:t>3</w:t>
          </w:r>
          <w:r>
            <w:rPr>
              <w:rFonts w:asciiTheme="minorHAnsi" w:hAnsiTheme="minorHAnsi"/>
              <w:i w:val="0"/>
              <w:noProof/>
              <w:sz w:val="24"/>
              <w:szCs w:val="24"/>
              <w:lang w:val="en-US" w:eastAsia="ja-JP"/>
            </w:rPr>
            <w:tab/>
          </w:r>
          <w:r>
            <w:rPr>
              <w:noProof/>
            </w:rPr>
            <w:t>Interpretazione e applicazione dell’aggiotaggio nella giurisprudenza successiva all’emanazione del codice Rocco</w:t>
          </w:r>
          <w:r>
            <w:rPr>
              <w:noProof/>
            </w:rPr>
            <w:tab/>
          </w:r>
          <w:r>
            <w:rPr>
              <w:noProof/>
            </w:rPr>
            <w:fldChar w:fldCharType="begin"/>
          </w:r>
          <w:r>
            <w:rPr>
              <w:noProof/>
            </w:rPr>
            <w:instrText xml:space="preserve"> PAGEREF _Toc272493049 \h </w:instrText>
          </w:r>
          <w:r>
            <w:rPr>
              <w:noProof/>
            </w:rPr>
          </w:r>
          <w:r>
            <w:rPr>
              <w:noProof/>
            </w:rPr>
            <w:fldChar w:fldCharType="separate"/>
          </w:r>
          <w:r>
            <w:rPr>
              <w:noProof/>
            </w:rPr>
            <w:t>8</w:t>
          </w:r>
          <w:r>
            <w:rPr>
              <w:noProof/>
            </w:rPr>
            <w:fldChar w:fldCharType="end"/>
          </w:r>
        </w:p>
        <w:p w14:paraId="2E08A5B9" w14:textId="77777777" w:rsidR="00FB3862" w:rsidRDefault="00FB3862">
          <w:pPr>
            <w:pStyle w:val="Sommario2"/>
            <w:tabs>
              <w:tab w:val="left" w:pos="618"/>
            </w:tabs>
            <w:rPr>
              <w:rFonts w:asciiTheme="minorHAnsi" w:hAnsiTheme="minorHAnsi"/>
              <w:i w:val="0"/>
              <w:noProof/>
              <w:sz w:val="24"/>
              <w:szCs w:val="24"/>
              <w:lang w:val="en-US" w:eastAsia="ja-JP"/>
            </w:rPr>
          </w:pPr>
          <w:r>
            <w:rPr>
              <w:noProof/>
            </w:rPr>
            <w:t>4</w:t>
          </w:r>
          <w:r>
            <w:rPr>
              <w:rFonts w:asciiTheme="minorHAnsi" w:hAnsiTheme="minorHAnsi"/>
              <w:i w:val="0"/>
              <w:noProof/>
              <w:sz w:val="24"/>
              <w:szCs w:val="24"/>
              <w:lang w:val="en-US" w:eastAsia="ja-JP"/>
            </w:rPr>
            <w:tab/>
          </w:r>
          <w:r>
            <w:rPr>
              <w:noProof/>
            </w:rPr>
            <w:t>La previsione della speciale fattispecie di aggiotaggio societario nel codice civile. Cenni al reato di manovre speculative su merci</w:t>
          </w:r>
          <w:r>
            <w:rPr>
              <w:noProof/>
            </w:rPr>
            <w:tab/>
          </w:r>
          <w:r>
            <w:rPr>
              <w:noProof/>
            </w:rPr>
            <w:fldChar w:fldCharType="begin"/>
          </w:r>
          <w:r>
            <w:rPr>
              <w:noProof/>
            </w:rPr>
            <w:instrText xml:space="preserve"> PAGEREF _Toc272493050 \h </w:instrText>
          </w:r>
          <w:r>
            <w:rPr>
              <w:noProof/>
            </w:rPr>
          </w:r>
          <w:r>
            <w:rPr>
              <w:noProof/>
            </w:rPr>
            <w:fldChar w:fldCharType="separate"/>
          </w:r>
          <w:r>
            <w:rPr>
              <w:noProof/>
            </w:rPr>
            <w:t>11</w:t>
          </w:r>
          <w:r>
            <w:rPr>
              <w:noProof/>
            </w:rPr>
            <w:fldChar w:fldCharType="end"/>
          </w:r>
        </w:p>
        <w:p w14:paraId="1CCA74C3" w14:textId="77777777" w:rsidR="00FB3862" w:rsidRDefault="00FB3862">
          <w:pPr>
            <w:pStyle w:val="Sommario2"/>
            <w:tabs>
              <w:tab w:val="left" w:pos="618"/>
            </w:tabs>
            <w:rPr>
              <w:rFonts w:asciiTheme="minorHAnsi" w:hAnsiTheme="minorHAnsi"/>
              <w:i w:val="0"/>
              <w:noProof/>
              <w:sz w:val="24"/>
              <w:szCs w:val="24"/>
              <w:lang w:val="en-US" w:eastAsia="ja-JP"/>
            </w:rPr>
          </w:pPr>
          <w:r>
            <w:rPr>
              <w:noProof/>
            </w:rPr>
            <w:t>5</w:t>
          </w:r>
          <w:r>
            <w:rPr>
              <w:rFonts w:asciiTheme="minorHAnsi" w:hAnsiTheme="minorHAnsi"/>
              <w:i w:val="0"/>
              <w:noProof/>
              <w:sz w:val="24"/>
              <w:szCs w:val="24"/>
              <w:lang w:val="en-US" w:eastAsia="ja-JP"/>
            </w:rPr>
            <w:tab/>
          </w:r>
          <w:r>
            <w:rPr>
              <w:noProof/>
            </w:rPr>
            <w:t>L’introduzione della manipolazione del mercato finanziario ad opera dell’articolo 5 della legge n. 157/1991</w:t>
          </w:r>
          <w:r>
            <w:rPr>
              <w:noProof/>
            </w:rPr>
            <w:tab/>
          </w:r>
          <w:r>
            <w:rPr>
              <w:noProof/>
            </w:rPr>
            <w:fldChar w:fldCharType="begin"/>
          </w:r>
          <w:r>
            <w:rPr>
              <w:noProof/>
            </w:rPr>
            <w:instrText xml:space="preserve"> PAGEREF _Toc272493051 \h </w:instrText>
          </w:r>
          <w:r>
            <w:rPr>
              <w:noProof/>
            </w:rPr>
          </w:r>
          <w:r>
            <w:rPr>
              <w:noProof/>
            </w:rPr>
            <w:fldChar w:fldCharType="separate"/>
          </w:r>
          <w:r>
            <w:rPr>
              <w:noProof/>
            </w:rPr>
            <w:t>14</w:t>
          </w:r>
          <w:r>
            <w:rPr>
              <w:noProof/>
            </w:rPr>
            <w:fldChar w:fldCharType="end"/>
          </w:r>
        </w:p>
        <w:p w14:paraId="1DEE2C6B" w14:textId="77777777" w:rsidR="00FB3862" w:rsidRDefault="00FB3862">
          <w:pPr>
            <w:pStyle w:val="Sommario2"/>
            <w:tabs>
              <w:tab w:val="left" w:pos="618"/>
            </w:tabs>
            <w:rPr>
              <w:rFonts w:asciiTheme="minorHAnsi" w:hAnsiTheme="minorHAnsi"/>
              <w:i w:val="0"/>
              <w:noProof/>
              <w:sz w:val="24"/>
              <w:szCs w:val="24"/>
              <w:lang w:val="en-US" w:eastAsia="ja-JP"/>
            </w:rPr>
          </w:pPr>
          <w:r>
            <w:rPr>
              <w:noProof/>
            </w:rPr>
            <w:t>6</w:t>
          </w:r>
          <w:r>
            <w:rPr>
              <w:rFonts w:asciiTheme="minorHAnsi" w:hAnsiTheme="minorHAnsi"/>
              <w:i w:val="0"/>
              <w:noProof/>
              <w:sz w:val="24"/>
              <w:szCs w:val="24"/>
              <w:lang w:val="en-US" w:eastAsia="ja-JP"/>
            </w:rPr>
            <w:tab/>
          </w:r>
          <w:r>
            <w:rPr>
              <w:noProof/>
            </w:rPr>
            <w:t>La revisione della fattispecie nel decreto legislativo n. 58 del 1998 (Testo unico della finanza – T.U.F.)</w:t>
          </w:r>
          <w:r>
            <w:rPr>
              <w:noProof/>
            </w:rPr>
            <w:tab/>
          </w:r>
          <w:r>
            <w:rPr>
              <w:noProof/>
            </w:rPr>
            <w:fldChar w:fldCharType="begin"/>
          </w:r>
          <w:r>
            <w:rPr>
              <w:noProof/>
            </w:rPr>
            <w:instrText xml:space="preserve"> PAGEREF _Toc272493052 \h </w:instrText>
          </w:r>
          <w:r>
            <w:rPr>
              <w:noProof/>
            </w:rPr>
          </w:r>
          <w:r>
            <w:rPr>
              <w:noProof/>
            </w:rPr>
            <w:fldChar w:fldCharType="separate"/>
          </w:r>
          <w:r>
            <w:rPr>
              <w:noProof/>
            </w:rPr>
            <w:t>16</w:t>
          </w:r>
          <w:r>
            <w:rPr>
              <w:noProof/>
            </w:rPr>
            <w:fldChar w:fldCharType="end"/>
          </w:r>
        </w:p>
        <w:p w14:paraId="552AB499" w14:textId="77777777" w:rsidR="00FB3862" w:rsidRDefault="00FB3862">
          <w:pPr>
            <w:pStyle w:val="Sommario2"/>
            <w:tabs>
              <w:tab w:val="left" w:pos="618"/>
            </w:tabs>
            <w:rPr>
              <w:rFonts w:asciiTheme="minorHAnsi" w:hAnsiTheme="minorHAnsi"/>
              <w:i w:val="0"/>
              <w:noProof/>
              <w:sz w:val="24"/>
              <w:szCs w:val="24"/>
              <w:lang w:val="en-US" w:eastAsia="ja-JP"/>
            </w:rPr>
          </w:pPr>
          <w:r>
            <w:rPr>
              <w:noProof/>
            </w:rPr>
            <w:t>7</w:t>
          </w:r>
          <w:r>
            <w:rPr>
              <w:rFonts w:asciiTheme="minorHAnsi" w:hAnsiTheme="minorHAnsi"/>
              <w:i w:val="0"/>
              <w:noProof/>
              <w:sz w:val="24"/>
              <w:szCs w:val="24"/>
              <w:lang w:val="en-US" w:eastAsia="ja-JP"/>
            </w:rPr>
            <w:tab/>
          </w:r>
          <w:r>
            <w:rPr>
              <w:noProof/>
            </w:rPr>
            <w:t>La riforma dei reati societari del 2002. Le modifiche all’aggiotaggio societario</w:t>
          </w:r>
          <w:r>
            <w:rPr>
              <w:noProof/>
            </w:rPr>
            <w:tab/>
          </w:r>
          <w:r>
            <w:rPr>
              <w:noProof/>
            </w:rPr>
            <w:fldChar w:fldCharType="begin"/>
          </w:r>
          <w:r>
            <w:rPr>
              <w:noProof/>
            </w:rPr>
            <w:instrText xml:space="preserve"> PAGEREF _Toc272493053 \h </w:instrText>
          </w:r>
          <w:r>
            <w:rPr>
              <w:noProof/>
            </w:rPr>
          </w:r>
          <w:r>
            <w:rPr>
              <w:noProof/>
            </w:rPr>
            <w:fldChar w:fldCharType="separate"/>
          </w:r>
          <w:r>
            <w:rPr>
              <w:noProof/>
            </w:rPr>
            <w:t>18</w:t>
          </w:r>
          <w:r>
            <w:rPr>
              <w:noProof/>
            </w:rPr>
            <w:fldChar w:fldCharType="end"/>
          </w:r>
        </w:p>
        <w:p w14:paraId="625F4678" w14:textId="77777777" w:rsidR="00FB3862" w:rsidRDefault="00FB3862">
          <w:pPr>
            <w:pStyle w:val="Sommario2"/>
            <w:tabs>
              <w:tab w:val="left" w:pos="618"/>
            </w:tabs>
            <w:rPr>
              <w:rFonts w:asciiTheme="minorHAnsi" w:hAnsiTheme="minorHAnsi"/>
              <w:i w:val="0"/>
              <w:noProof/>
              <w:sz w:val="24"/>
              <w:szCs w:val="24"/>
              <w:lang w:val="en-US" w:eastAsia="ja-JP"/>
            </w:rPr>
          </w:pPr>
          <w:r>
            <w:rPr>
              <w:noProof/>
            </w:rPr>
            <w:t>8</w:t>
          </w:r>
          <w:r>
            <w:rPr>
              <w:rFonts w:asciiTheme="minorHAnsi" w:hAnsiTheme="minorHAnsi"/>
              <w:i w:val="0"/>
              <w:noProof/>
              <w:sz w:val="24"/>
              <w:szCs w:val="24"/>
              <w:lang w:val="en-US" w:eastAsia="ja-JP"/>
            </w:rPr>
            <w:tab/>
          </w:r>
          <w:r>
            <w:rPr>
              <w:noProof/>
            </w:rPr>
            <w:t>Il modello statunitense della disciplina sugli abusi di mercato come quadro di riferimento della disciplina comunitaria della materia</w:t>
          </w:r>
          <w:r>
            <w:rPr>
              <w:noProof/>
            </w:rPr>
            <w:tab/>
          </w:r>
          <w:r>
            <w:rPr>
              <w:noProof/>
            </w:rPr>
            <w:fldChar w:fldCharType="begin"/>
          </w:r>
          <w:r>
            <w:rPr>
              <w:noProof/>
            </w:rPr>
            <w:instrText xml:space="preserve"> PAGEREF _Toc272493054 \h </w:instrText>
          </w:r>
          <w:r>
            <w:rPr>
              <w:noProof/>
            </w:rPr>
          </w:r>
          <w:r>
            <w:rPr>
              <w:noProof/>
            </w:rPr>
            <w:fldChar w:fldCharType="separate"/>
          </w:r>
          <w:r>
            <w:rPr>
              <w:noProof/>
            </w:rPr>
            <w:t>22</w:t>
          </w:r>
          <w:r>
            <w:rPr>
              <w:noProof/>
            </w:rPr>
            <w:fldChar w:fldCharType="end"/>
          </w:r>
        </w:p>
        <w:p w14:paraId="7C1F5137" w14:textId="77777777" w:rsidR="00FB3862" w:rsidRDefault="00FB3862">
          <w:pPr>
            <w:pStyle w:val="Sommario2"/>
            <w:tabs>
              <w:tab w:val="left" w:pos="618"/>
            </w:tabs>
            <w:rPr>
              <w:rFonts w:asciiTheme="minorHAnsi" w:hAnsiTheme="minorHAnsi"/>
              <w:i w:val="0"/>
              <w:noProof/>
              <w:sz w:val="24"/>
              <w:szCs w:val="24"/>
              <w:lang w:val="en-US" w:eastAsia="ja-JP"/>
            </w:rPr>
          </w:pPr>
          <w:r>
            <w:rPr>
              <w:noProof/>
            </w:rPr>
            <w:t>9</w:t>
          </w:r>
          <w:r>
            <w:rPr>
              <w:rFonts w:asciiTheme="minorHAnsi" w:hAnsiTheme="minorHAnsi"/>
              <w:i w:val="0"/>
              <w:noProof/>
              <w:sz w:val="24"/>
              <w:szCs w:val="24"/>
              <w:lang w:val="en-US" w:eastAsia="ja-JP"/>
            </w:rPr>
            <w:tab/>
          </w:r>
          <w:r>
            <w:rPr>
              <w:noProof/>
            </w:rPr>
            <w:t>La Direttiva 2003/6/CE e il suo quadro istituzionale di riferimento</w:t>
          </w:r>
          <w:r>
            <w:rPr>
              <w:noProof/>
            </w:rPr>
            <w:tab/>
          </w:r>
          <w:r>
            <w:rPr>
              <w:noProof/>
            </w:rPr>
            <w:fldChar w:fldCharType="begin"/>
          </w:r>
          <w:r>
            <w:rPr>
              <w:noProof/>
            </w:rPr>
            <w:instrText xml:space="preserve"> PAGEREF _Toc272493055 \h </w:instrText>
          </w:r>
          <w:r>
            <w:rPr>
              <w:noProof/>
            </w:rPr>
          </w:r>
          <w:r>
            <w:rPr>
              <w:noProof/>
            </w:rPr>
            <w:fldChar w:fldCharType="separate"/>
          </w:r>
          <w:r>
            <w:rPr>
              <w:noProof/>
            </w:rPr>
            <w:t>24</w:t>
          </w:r>
          <w:r>
            <w:rPr>
              <w:noProof/>
            </w:rPr>
            <w:fldChar w:fldCharType="end"/>
          </w:r>
        </w:p>
        <w:p w14:paraId="587BB333" w14:textId="77777777" w:rsidR="00FB3862" w:rsidRDefault="00FB3862">
          <w:pPr>
            <w:pStyle w:val="Sommario2"/>
            <w:tabs>
              <w:tab w:val="left" w:pos="758"/>
            </w:tabs>
            <w:rPr>
              <w:rFonts w:asciiTheme="minorHAnsi" w:hAnsiTheme="minorHAnsi"/>
              <w:i w:val="0"/>
              <w:noProof/>
              <w:sz w:val="24"/>
              <w:szCs w:val="24"/>
              <w:lang w:val="en-US" w:eastAsia="ja-JP"/>
            </w:rPr>
          </w:pPr>
          <w:r>
            <w:rPr>
              <w:noProof/>
            </w:rPr>
            <w:t>10</w:t>
          </w:r>
          <w:r>
            <w:rPr>
              <w:rFonts w:asciiTheme="minorHAnsi" w:hAnsiTheme="minorHAnsi"/>
              <w:i w:val="0"/>
              <w:noProof/>
              <w:sz w:val="24"/>
              <w:szCs w:val="24"/>
              <w:lang w:val="en-US" w:eastAsia="ja-JP"/>
            </w:rPr>
            <w:tab/>
          </w:r>
          <w:r>
            <w:rPr>
              <w:noProof/>
            </w:rPr>
            <w:t>Il primo recepimento della Direttiva 2003/6/CE nell’ordinamento italiano (la l. n. 62 del 2005)</w:t>
          </w:r>
          <w:r>
            <w:rPr>
              <w:noProof/>
            </w:rPr>
            <w:tab/>
          </w:r>
          <w:r>
            <w:rPr>
              <w:noProof/>
            </w:rPr>
            <w:fldChar w:fldCharType="begin"/>
          </w:r>
          <w:r>
            <w:rPr>
              <w:noProof/>
            </w:rPr>
            <w:instrText xml:space="preserve"> PAGEREF _Toc272493056 \h </w:instrText>
          </w:r>
          <w:r>
            <w:rPr>
              <w:noProof/>
            </w:rPr>
          </w:r>
          <w:r>
            <w:rPr>
              <w:noProof/>
            </w:rPr>
            <w:fldChar w:fldCharType="separate"/>
          </w:r>
          <w:r>
            <w:rPr>
              <w:noProof/>
            </w:rPr>
            <w:t>26</w:t>
          </w:r>
          <w:r>
            <w:rPr>
              <w:noProof/>
            </w:rPr>
            <w:fldChar w:fldCharType="end"/>
          </w:r>
        </w:p>
        <w:p w14:paraId="1C968E0F" w14:textId="77777777" w:rsidR="00FB3862" w:rsidRDefault="00FB3862">
          <w:pPr>
            <w:pStyle w:val="Sommario2"/>
            <w:tabs>
              <w:tab w:val="left" w:pos="758"/>
            </w:tabs>
            <w:rPr>
              <w:rFonts w:asciiTheme="minorHAnsi" w:hAnsiTheme="minorHAnsi"/>
              <w:i w:val="0"/>
              <w:noProof/>
              <w:sz w:val="24"/>
              <w:szCs w:val="24"/>
              <w:lang w:val="en-US" w:eastAsia="ja-JP"/>
            </w:rPr>
          </w:pPr>
          <w:r>
            <w:rPr>
              <w:noProof/>
            </w:rPr>
            <w:t>11</w:t>
          </w:r>
          <w:r>
            <w:rPr>
              <w:rFonts w:asciiTheme="minorHAnsi" w:hAnsiTheme="minorHAnsi"/>
              <w:i w:val="0"/>
              <w:noProof/>
              <w:sz w:val="24"/>
              <w:szCs w:val="24"/>
              <w:lang w:val="en-US" w:eastAsia="ja-JP"/>
            </w:rPr>
            <w:tab/>
          </w:r>
          <w:r>
            <w:rPr>
              <w:noProof/>
            </w:rPr>
            <w:t>La l. 262/2005 a tutela dei risparmiatori sul mercato</w:t>
          </w:r>
          <w:r>
            <w:rPr>
              <w:noProof/>
            </w:rPr>
            <w:tab/>
          </w:r>
          <w:r>
            <w:rPr>
              <w:noProof/>
            </w:rPr>
            <w:fldChar w:fldCharType="begin"/>
          </w:r>
          <w:r>
            <w:rPr>
              <w:noProof/>
            </w:rPr>
            <w:instrText xml:space="preserve"> PAGEREF _Toc272493057 \h </w:instrText>
          </w:r>
          <w:r>
            <w:rPr>
              <w:noProof/>
            </w:rPr>
          </w:r>
          <w:r>
            <w:rPr>
              <w:noProof/>
            </w:rPr>
            <w:fldChar w:fldCharType="separate"/>
          </w:r>
          <w:r>
            <w:rPr>
              <w:noProof/>
            </w:rPr>
            <w:t>29</w:t>
          </w:r>
          <w:r>
            <w:rPr>
              <w:noProof/>
            </w:rPr>
            <w:fldChar w:fldCharType="end"/>
          </w:r>
        </w:p>
        <w:p w14:paraId="56D4A9D1" w14:textId="77777777" w:rsidR="00FB3862" w:rsidRDefault="00FB3862">
          <w:pPr>
            <w:pStyle w:val="Sommario2"/>
            <w:tabs>
              <w:tab w:val="left" w:pos="758"/>
            </w:tabs>
            <w:rPr>
              <w:rFonts w:asciiTheme="minorHAnsi" w:hAnsiTheme="minorHAnsi"/>
              <w:i w:val="0"/>
              <w:noProof/>
              <w:sz w:val="24"/>
              <w:szCs w:val="24"/>
              <w:lang w:val="en-US" w:eastAsia="ja-JP"/>
            </w:rPr>
          </w:pPr>
          <w:r>
            <w:rPr>
              <w:noProof/>
            </w:rPr>
            <w:t>12</w:t>
          </w:r>
          <w:r>
            <w:rPr>
              <w:rFonts w:asciiTheme="minorHAnsi" w:hAnsiTheme="minorHAnsi"/>
              <w:i w:val="0"/>
              <w:noProof/>
              <w:sz w:val="24"/>
              <w:szCs w:val="24"/>
              <w:lang w:val="en-US" w:eastAsia="ja-JP"/>
            </w:rPr>
            <w:tab/>
          </w:r>
          <w:r>
            <w:rPr>
              <w:noProof/>
            </w:rPr>
            <w:t>L’estensione nel 2009 della disciplina ai mercati non regolamentati</w:t>
          </w:r>
          <w:r>
            <w:rPr>
              <w:noProof/>
            </w:rPr>
            <w:tab/>
          </w:r>
          <w:r>
            <w:rPr>
              <w:noProof/>
            </w:rPr>
            <w:fldChar w:fldCharType="begin"/>
          </w:r>
          <w:r>
            <w:rPr>
              <w:noProof/>
            </w:rPr>
            <w:instrText xml:space="preserve"> PAGEREF _Toc272493058 \h </w:instrText>
          </w:r>
          <w:r>
            <w:rPr>
              <w:noProof/>
            </w:rPr>
          </w:r>
          <w:r>
            <w:rPr>
              <w:noProof/>
            </w:rPr>
            <w:fldChar w:fldCharType="separate"/>
          </w:r>
          <w:r>
            <w:rPr>
              <w:noProof/>
            </w:rPr>
            <w:t>30</w:t>
          </w:r>
          <w:r>
            <w:rPr>
              <w:noProof/>
            </w:rPr>
            <w:fldChar w:fldCharType="end"/>
          </w:r>
        </w:p>
        <w:p w14:paraId="3783A4FF" w14:textId="77777777" w:rsidR="00FB3862" w:rsidRDefault="00FB3862">
          <w:pPr>
            <w:pStyle w:val="Sommario2"/>
            <w:tabs>
              <w:tab w:val="left" w:pos="758"/>
            </w:tabs>
            <w:rPr>
              <w:rFonts w:asciiTheme="minorHAnsi" w:hAnsiTheme="minorHAnsi"/>
              <w:i w:val="0"/>
              <w:noProof/>
              <w:sz w:val="24"/>
              <w:szCs w:val="24"/>
              <w:lang w:val="en-US" w:eastAsia="ja-JP"/>
            </w:rPr>
          </w:pPr>
          <w:r>
            <w:rPr>
              <w:noProof/>
            </w:rPr>
            <w:t>13</w:t>
          </w:r>
          <w:r>
            <w:rPr>
              <w:rFonts w:asciiTheme="minorHAnsi" w:hAnsiTheme="minorHAnsi"/>
              <w:i w:val="0"/>
              <w:noProof/>
              <w:sz w:val="24"/>
              <w:szCs w:val="24"/>
              <w:lang w:val="en-US" w:eastAsia="ja-JP"/>
            </w:rPr>
            <w:tab/>
          </w:r>
          <w:r>
            <w:rPr>
              <w:noProof/>
            </w:rPr>
            <w:t xml:space="preserve">Le novità introdotte </w:t>
          </w:r>
          <w:r w:rsidRPr="003E6ABF">
            <w:rPr>
              <w:noProof/>
              <w:color w:val="323232"/>
            </w:rPr>
            <w:t xml:space="preserve">dalla </w:t>
          </w:r>
          <w:r>
            <w:rPr>
              <w:noProof/>
            </w:rPr>
            <w:t xml:space="preserve">Direttiva 2014/57/UE e dal </w:t>
          </w:r>
          <w:r w:rsidRPr="003E6ABF">
            <w:rPr>
              <w:noProof/>
              <w:color w:val="323232"/>
            </w:rPr>
            <w:t>Regolamento UE 596/2014</w:t>
          </w:r>
          <w:r>
            <w:rPr>
              <w:noProof/>
            </w:rPr>
            <w:t xml:space="preserve"> in tema di manipolazione di mercato.</w:t>
          </w:r>
          <w:r>
            <w:rPr>
              <w:noProof/>
            </w:rPr>
            <w:tab/>
          </w:r>
          <w:r>
            <w:rPr>
              <w:noProof/>
            </w:rPr>
            <w:fldChar w:fldCharType="begin"/>
          </w:r>
          <w:r>
            <w:rPr>
              <w:noProof/>
            </w:rPr>
            <w:instrText xml:space="preserve"> PAGEREF _Toc272493059 \h </w:instrText>
          </w:r>
          <w:r>
            <w:rPr>
              <w:noProof/>
            </w:rPr>
          </w:r>
          <w:r>
            <w:rPr>
              <w:noProof/>
            </w:rPr>
            <w:fldChar w:fldCharType="separate"/>
          </w:r>
          <w:r>
            <w:rPr>
              <w:noProof/>
            </w:rPr>
            <w:t>30</w:t>
          </w:r>
          <w:r>
            <w:rPr>
              <w:noProof/>
            </w:rPr>
            <w:fldChar w:fldCharType="end"/>
          </w:r>
        </w:p>
        <w:p w14:paraId="61ABE71E" w14:textId="2EFA257A" w:rsidR="00751D2E" w:rsidRPr="00075F52" w:rsidRDefault="00503E76" w:rsidP="00075F52">
          <w:pPr>
            <w:spacing w:after="100" w:afterAutospacing="1"/>
            <w:ind w:firstLine="454"/>
            <w:rPr>
              <w:b/>
              <w:sz w:val="28"/>
              <w:szCs w:val="22"/>
            </w:rPr>
          </w:pPr>
          <w:r>
            <w:rPr>
              <w:b/>
              <w:sz w:val="28"/>
              <w:szCs w:val="22"/>
            </w:rPr>
            <w:fldChar w:fldCharType="end"/>
          </w:r>
        </w:p>
      </w:sdtContent>
    </w:sdt>
    <w:p w14:paraId="64CCCE8A" w14:textId="77777777" w:rsidR="00D4243C" w:rsidRPr="00761D6B" w:rsidRDefault="002E4C92" w:rsidP="00BD67B1">
      <w:pPr>
        <w:pStyle w:val="Titolo1"/>
      </w:pPr>
      <w:bookmarkStart w:id="0" w:name="_Toc272493045"/>
      <w:r>
        <w:t>Introduzione</w:t>
      </w:r>
      <w:bookmarkEnd w:id="0"/>
      <w:r>
        <w:t xml:space="preserve"> </w:t>
      </w:r>
    </w:p>
    <w:p w14:paraId="201C695D" w14:textId="77777777" w:rsidR="00600F45" w:rsidRDefault="00600F45" w:rsidP="009A319A">
      <w:pPr>
        <w:ind w:firstLine="454"/>
        <w:rPr>
          <w:rFonts w:cs="Times New Roman"/>
        </w:rPr>
      </w:pPr>
    </w:p>
    <w:p w14:paraId="7D02D778" w14:textId="77777777" w:rsidR="00BD67B1" w:rsidRDefault="00BD67B1" w:rsidP="009A319A">
      <w:pPr>
        <w:ind w:firstLine="454"/>
        <w:rPr>
          <w:rFonts w:cs="Times New Roman"/>
        </w:rPr>
      </w:pPr>
    </w:p>
    <w:p w14:paraId="711109C2" w14:textId="77777777" w:rsidR="00BD67B1" w:rsidRDefault="00BD67B1" w:rsidP="009A319A">
      <w:pPr>
        <w:ind w:firstLine="454"/>
        <w:rPr>
          <w:rFonts w:cs="Times New Roman"/>
        </w:rPr>
      </w:pPr>
    </w:p>
    <w:p w14:paraId="35B0385C" w14:textId="54DDBD81" w:rsidR="00BD67B1" w:rsidRPr="009F5292" w:rsidRDefault="00BD67B1" w:rsidP="009A319A">
      <w:pPr>
        <w:ind w:firstLine="454"/>
        <w:rPr>
          <w:rFonts w:cs="Times New Roman"/>
        </w:rPr>
        <w:sectPr w:rsidR="00BD67B1" w:rsidRPr="009F5292" w:rsidSect="009F2217">
          <w:footerReference w:type="even" r:id="rId9"/>
          <w:footerReference w:type="default" r:id="rId10"/>
          <w:endnotePr>
            <w:numFmt w:val="decimal"/>
          </w:endnotePr>
          <w:pgSz w:w="11900" w:h="16840"/>
          <w:pgMar w:top="1417" w:right="1134" w:bottom="1134" w:left="1134" w:header="708" w:footer="708" w:gutter="0"/>
          <w:pgNumType w:fmt="upperRoman" w:start="1"/>
          <w:cols w:space="708"/>
        </w:sectPr>
      </w:pPr>
    </w:p>
    <w:p w14:paraId="446EF604" w14:textId="6EBB13FF" w:rsidR="00CA0328" w:rsidRPr="00E57125" w:rsidRDefault="00CA0328" w:rsidP="00E57125">
      <w:pPr>
        <w:pStyle w:val="Titolosommario"/>
      </w:pPr>
      <w:r w:rsidRPr="00E57125">
        <w:lastRenderedPageBreak/>
        <w:t>CAPITOLO</w:t>
      </w:r>
      <w:r w:rsidR="00D47F91">
        <w:t xml:space="preserve"> I</w:t>
      </w:r>
    </w:p>
    <w:p w14:paraId="6FE0D410" w14:textId="0022E0F3" w:rsidR="00CA0328" w:rsidRPr="00630033" w:rsidRDefault="00D47F91" w:rsidP="2B30352A">
      <w:pPr>
        <w:pStyle w:val="Titolo1"/>
        <w:spacing w:after="100" w:afterAutospacing="1"/>
        <w:jc w:val="left"/>
      </w:pPr>
      <w:bookmarkStart w:id="1" w:name="_Toc271023059"/>
      <w:bookmarkStart w:id="2" w:name="_Toc272493046"/>
      <w:r>
        <w:t>Dall’aggiotaggio alla</w:t>
      </w:r>
      <w:r w:rsidR="00CA0328">
        <w:t xml:space="preserve"> manipolazione del</w:t>
      </w:r>
      <w:r w:rsidR="00CA0328" w:rsidRPr="00630033">
        <w:t xml:space="preserve"> mercato</w:t>
      </w:r>
      <w:bookmarkEnd w:id="1"/>
      <w:r>
        <w:t>. L’evoluzione legislativa</w:t>
      </w:r>
      <w:bookmarkEnd w:id="2"/>
    </w:p>
    <w:p w14:paraId="1F345723" w14:textId="57AE710F" w:rsidR="00CA0328" w:rsidRPr="00152634" w:rsidRDefault="00CA0328" w:rsidP="00691D33">
      <w:pPr>
        <w:pStyle w:val="Titolo2"/>
        <w:numPr>
          <w:ilvl w:val="0"/>
          <w:numId w:val="22"/>
        </w:numPr>
      </w:pPr>
      <w:bookmarkStart w:id="3" w:name="_Toc271023060"/>
      <w:bookmarkStart w:id="4" w:name="_Toc272493047"/>
      <w:r w:rsidRPr="00152634">
        <w:t>I prod</w:t>
      </w:r>
      <w:r w:rsidR="00D47F91">
        <w:t>r</w:t>
      </w:r>
      <w:r w:rsidRPr="00152634">
        <w:t>omi del delitto di manipolazione di mercato</w:t>
      </w:r>
      <w:r w:rsidR="00751D2E">
        <w:t>. Il reato di aggiotaggio nel</w:t>
      </w:r>
      <w:r w:rsidRPr="00152634">
        <w:t xml:space="preserve"> codice Zanardelli</w:t>
      </w:r>
      <w:bookmarkEnd w:id="3"/>
      <w:bookmarkEnd w:id="4"/>
    </w:p>
    <w:p w14:paraId="35FF8DCA" w14:textId="596E5A3A" w:rsidR="00CA0328" w:rsidRPr="009F5292" w:rsidRDefault="00CA0328" w:rsidP="0074459A">
      <w:pPr>
        <w:spacing w:before="100" w:beforeAutospacing="1" w:line="276" w:lineRule="auto"/>
        <w:ind w:firstLine="454"/>
        <w:rPr>
          <w:rFonts w:cs="Times New Roman"/>
          <w:iCs/>
        </w:rPr>
      </w:pPr>
      <w:r w:rsidRPr="009F5292">
        <w:rPr>
          <w:rFonts w:cs="Times New Roman"/>
          <w:iCs/>
        </w:rPr>
        <w:t>Il delitto</w:t>
      </w:r>
      <w:r>
        <w:rPr>
          <w:rFonts w:cs="Times New Roman"/>
          <w:iCs/>
        </w:rPr>
        <w:t xml:space="preserve"> di manipolazione di mercato trae origine dal c.d. reato di </w:t>
      </w:r>
      <w:r w:rsidRPr="00A41ED0">
        <w:rPr>
          <w:rFonts w:cs="Times New Roman"/>
          <w:i/>
          <w:iCs/>
        </w:rPr>
        <w:t>aggiotaggio</w:t>
      </w:r>
      <w:r>
        <w:rPr>
          <w:rFonts w:cs="Times New Roman"/>
          <w:iCs/>
        </w:rPr>
        <w:t>, suo sinonimo, il quale</w:t>
      </w:r>
      <w:r w:rsidRPr="009F5292">
        <w:rPr>
          <w:rFonts w:cs="Times New Roman"/>
          <w:iCs/>
        </w:rPr>
        <w:t xml:space="preserve"> deriva il suo etimo dalla parola </w:t>
      </w:r>
      <w:r w:rsidR="00787258">
        <w:rPr>
          <w:rFonts w:cs="Times New Roman"/>
          <w:i/>
          <w:iCs/>
        </w:rPr>
        <w:t>«</w:t>
      </w:r>
      <w:r w:rsidRPr="00A41ED0">
        <w:rPr>
          <w:rFonts w:cs="Times New Roman"/>
          <w:i/>
        </w:rPr>
        <w:t>aggio</w:t>
      </w:r>
      <w:r w:rsidR="00787258">
        <w:rPr>
          <w:rFonts w:cs="Times New Roman"/>
          <w:i/>
        </w:rPr>
        <w:t>»</w:t>
      </w:r>
      <w:r w:rsidRPr="009F5292">
        <w:rPr>
          <w:rFonts w:cs="Times New Roman"/>
        </w:rPr>
        <w:t xml:space="preserve">, termine utilizzato in Francia nel XV secolo per indicare un differenziale di prezzo di un bene su cui poter basare la speculazione e quindi il guadagno. Il suffisso </w:t>
      </w:r>
      <w:r w:rsidRPr="009F5292">
        <w:rPr>
          <w:rFonts w:cs="Times New Roman"/>
          <w:i/>
        </w:rPr>
        <w:t>tage</w:t>
      </w:r>
      <w:r w:rsidRPr="009F5292">
        <w:rPr>
          <w:rFonts w:cs="Times New Roman"/>
        </w:rPr>
        <w:t xml:space="preserve">, apposto ai sostantivi derivanti dai verbi di azione, venne aggiunto nel XVII secolo per formare la parola </w:t>
      </w:r>
      <w:r w:rsidRPr="009F5292">
        <w:rPr>
          <w:rFonts w:cs="Times New Roman"/>
          <w:i/>
        </w:rPr>
        <w:t>agiotage</w:t>
      </w:r>
      <w:r w:rsidRPr="009F5292">
        <w:rPr>
          <w:rFonts w:cs="Times New Roman"/>
        </w:rPr>
        <w:t>, la quale assume il diverso significato di condotta tendente a creare artificiosamente le condizioni per un differenziale di prezzo e quindi non più solo per trarre profitto dallo stesso</w:t>
      </w:r>
      <w:r w:rsidRPr="009F5292">
        <w:rPr>
          <w:rStyle w:val="Rimandonotaapidipagina"/>
          <w:rFonts w:cs="Times New Roman"/>
        </w:rPr>
        <w:footnoteReference w:id="1"/>
      </w:r>
      <w:r w:rsidRPr="009F5292">
        <w:rPr>
          <w:rFonts w:cs="Times New Roman"/>
        </w:rPr>
        <w:t>.</w:t>
      </w:r>
    </w:p>
    <w:p w14:paraId="27EF6171" w14:textId="4AF35091" w:rsidR="00CA0328" w:rsidRPr="009F5292" w:rsidRDefault="00CA0328" w:rsidP="0074459A">
      <w:pPr>
        <w:spacing w:before="100" w:beforeAutospacing="1" w:line="276" w:lineRule="auto"/>
        <w:ind w:firstLine="454"/>
        <w:rPr>
          <w:rFonts w:cs="Times New Roman"/>
          <w:iCs/>
        </w:rPr>
      </w:pPr>
      <w:r w:rsidRPr="009F5292">
        <w:rPr>
          <w:rFonts w:cs="Times New Roman"/>
          <w:iCs/>
        </w:rPr>
        <w:t>Il termine apparve poi per la prima volta in Italia con il medesimo significato dispregiativo di at</w:t>
      </w:r>
      <w:r w:rsidR="00D47F91">
        <w:rPr>
          <w:rFonts w:cs="Times New Roman"/>
          <w:iCs/>
        </w:rPr>
        <w:t>t</w:t>
      </w:r>
      <w:r w:rsidRPr="009F5292">
        <w:rPr>
          <w:rFonts w:cs="Times New Roman"/>
          <w:iCs/>
        </w:rPr>
        <w:t>ività lucrativa fraudolenta</w:t>
      </w:r>
      <w:r w:rsidRPr="009F5292">
        <w:rPr>
          <w:rStyle w:val="Rimandonotaapidipagina"/>
          <w:rFonts w:cs="Times New Roman"/>
          <w:iCs/>
        </w:rPr>
        <w:footnoteReference w:id="2"/>
      </w:r>
      <w:r w:rsidRPr="009F5292">
        <w:rPr>
          <w:rFonts w:cs="Times New Roman"/>
          <w:iCs/>
        </w:rPr>
        <w:t xml:space="preserve">. </w:t>
      </w:r>
      <w:r>
        <w:rPr>
          <w:rFonts w:cs="Times New Roman"/>
          <w:iCs/>
        </w:rPr>
        <w:t>N</w:t>
      </w:r>
      <w:r w:rsidRPr="009F5292">
        <w:rPr>
          <w:rFonts w:cs="Times New Roman"/>
          <w:iCs/>
        </w:rPr>
        <w:t>el nostro paese</w:t>
      </w:r>
      <w:r w:rsidRPr="009F5292">
        <w:rPr>
          <w:rStyle w:val="Rimandonotaapidipagina"/>
          <w:rFonts w:cs="Times New Roman"/>
          <w:iCs/>
        </w:rPr>
        <w:footnoteReference w:id="3"/>
      </w:r>
      <w:r w:rsidRPr="00A41ED0">
        <w:rPr>
          <w:rFonts w:cs="Times New Roman"/>
          <w:iCs/>
        </w:rPr>
        <w:t xml:space="preserve"> </w:t>
      </w:r>
      <w:r>
        <w:rPr>
          <w:rFonts w:cs="Times New Roman"/>
          <w:iCs/>
        </w:rPr>
        <w:t>e</w:t>
      </w:r>
      <w:r w:rsidRPr="009F5292">
        <w:rPr>
          <w:rFonts w:cs="Times New Roman"/>
          <w:iCs/>
        </w:rPr>
        <w:t>sso fu previsto come reato inizialmente con la traduzione del codice napoleonico del 1810, avvenuta nel 1811 con il Codice dei delitti e delle pene del Regno d’Italia. Tale codice all’art. 419 recitava:</w:t>
      </w:r>
    </w:p>
    <w:p w14:paraId="2579E479" w14:textId="3EB753AF" w:rsidR="00CA0328" w:rsidRDefault="00D47F91" w:rsidP="0074459A">
      <w:pPr>
        <w:spacing w:before="100" w:beforeAutospacing="1" w:line="276" w:lineRule="auto"/>
        <w:ind w:firstLine="454"/>
        <w:rPr>
          <w:rFonts w:cs="Times New Roman"/>
          <w:i/>
          <w:iCs/>
        </w:rPr>
      </w:pPr>
      <w:r>
        <w:rPr>
          <w:rFonts w:cs="Times New Roman"/>
          <w:i/>
          <w:iCs/>
        </w:rPr>
        <w:t>«</w:t>
      </w:r>
      <w:r w:rsidR="00CA0328" w:rsidRPr="00A41ED0">
        <w:rPr>
          <w:rFonts w:cs="Times New Roman"/>
          <w:i/>
          <w:iCs/>
        </w:rPr>
        <w:t>Tutti coloro, i quali con fatti falsi o calunniosi sparsi a bella posta nel pubblico, con offerte superiori ai prezzi che i venditori stessi domandavano, riunendosi d’intelligenza fra i principali detentori di una stessa mercanzia o derrata, tendenti a non venderla o a venderla solo a un dato prezzo, e quelli che per vie o mezzi fraudolenti qualunque siano, avranno prodotto l’alzamento o l’abbassamento dei prezzi di derrate o mercanzie, o delle cedole ed effetti pubblici, al di sopra o al di sotto del prezzo che sarebbe stato determinato dalla libera e naturale concorrenza del commercio</w:t>
      </w:r>
      <w:r>
        <w:rPr>
          <w:rFonts w:cs="Times New Roman"/>
          <w:i/>
          <w:iCs/>
        </w:rPr>
        <w:t>»</w:t>
      </w:r>
      <w:r w:rsidR="00CA0328" w:rsidRPr="00A41ED0">
        <w:rPr>
          <w:rFonts w:cs="Times New Roman"/>
          <w:i/>
          <w:iCs/>
        </w:rPr>
        <w:t>.</w:t>
      </w:r>
    </w:p>
    <w:p w14:paraId="3D586EC9" w14:textId="77777777" w:rsidR="00BF436F" w:rsidRDefault="00CA0328" w:rsidP="00BF436F">
      <w:pPr>
        <w:spacing w:before="100" w:beforeAutospacing="1" w:line="276" w:lineRule="auto"/>
        <w:ind w:firstLine="454"/>
        <w:rPr>
          <w:rFonts w:cs="Times New Roman"/>
        </w:rPr>
      </w:pPr>
      <w:r w:rsidRPr="009F5292">
        <w:rPr>
          <w:rFonts w:cs="Times New Roman"/>
          <w:iCs/>
        </w:rPr>
        <w:t xml:space="preserve">Il reato fu successivamente ripreso dagli </w:t>
      </w:r>
      <w:r w:rsidRPr="009F5292">
        <w:rPr>
          <w:rFonts w:cs="Times New Roman"/>
        </w:rPr>
        <w:t>articoli 389</w:t>
      </w:r>
      <w:r>
        <w:rPr>
          <w:rStyle w:val="Rimandonotaapidipagina"/>
          <w:rFonts w:cs="Times New Roman"/>
        </w:rPr>
        <w:footnoteReference w:id="4"/>
      </w:r>
      <w:r w:rsidRPr="009F5292">
        <w:rPr>
          <w:rFonts w:cs="Times New Roman"/>
        </w:rPr>
        <w:t xml:space="preserve"> e 390</w:t>
      </w:r>
      <w:r>
        <w:rPr>
          <w:rStyle w:val="Rimandonotaapidipagina"/>
          <w:rFonts w:cs="Times New Roman"/>
        </w:rPr>
        <w:footnoteReference w:id="5"/>
      </w:r>
      <w:r w:rsidRPr="009F5292">
        <w:rPr>
          <w:rFonts w:cs="Times New Roman"/>
        </w:rPr>
        <w:t xml:space="preserve"> del codice penale sardo del 1859, oltre che </w:t>
      </w:r>
      <w:r>
        <w:rPr>
          <w:rFonts w:cs="Times New Roman"/>
          <w:iCs/>
        </w:rPr>
        <w:t>dall’</w:t>
      </w:r>
      <w:r w:rsidRPr="009F5292">
        <w:rPr>
          <w:rFonts w:cs="Times New Roman"/>
          <w:iCs/>
        </w:rPr>
        <w:t>art. 484</w:t>
      </w:r>
      <w:r>
        <w:rPr>
          <w:rStyle w:val="Rimandonotaapidipagina"/>
          <w:rFonts w:cs="Times New Roman"/>
          <w:iCs/>
        </w:rPr>
        <w:footnoteReference w:id="6"/>
      </w:r>
      <w:r>
        <w:rPr>
          <w:rFonts w:cs="Times New Roman"/>
          <w:iCs/>
        </w:rPr>
        <w:t xml:space="preserve"> codice penale parmense del 1820</w:t>
      </w:r>
      <w:r w:rsidRPr="009F5292">
        <w:rPr>
          <w:rFonts w:cs="Times New Roman"/>
          <w:iCs/>
        </w:rPr>
        <w:t>,</w:t>
      </w:r>
      <w:r>
        <w:rPr>
          <w:rFonts w:cs="Times New Roman"/>
        </w:rPr>
        <w:t xml:space="preserve"> ma per quanto ci è dato rilevare</w:t>
      </w:r>
      <w:r w:rsidR="004B4BFA">
        <w:rPr>
          <w:rFonts w:cs="Times New Roman"/>
        </w:rPr>
        <w:t>,</w:t>
      </w:r>
      <w:r>
        <w:rPr>
          <w:rFonts w:cs="Times New Roman"/>
        </w:rPr>
        <w:t xml:space="preserve"> non dagli altri codici preunitari.</w:t>
      </w:r>
      <w:r w:rsidRPr="009F5292">
        <w:rPr>
          <w:rFonts w:cs="Times New Roman"/>
        </w:rPr>
        <w:t xml:space="preserve"> </w:t>
      </w:r>
    </w:p>
    <w:p w14:paraId="136C05A8" w14:textId="049EDFBA" w:rsidR="00CA0328" w:rsidRDefault="00CA0328" w:rsidP="00BF436F">
      <w:pPr>
        <w:spacing w:before="100" w:beforeAutospacing="1" w:line="276" w:lineRule="auto"/>
        <w:ind w:firstLine="454"/>
        <w:rPr>
          <w:rFonts w:cs="Times New Roman"/>
        </w:rPr>
      </w:pPr>
      <w:bookmarkStart w:id="5" w:name="_GoBack"/>
      <w:bookmarkEnd w:id="5"/>
      <w:r>
        <w:rPr>
          <w:rFonts w:cs="Times New Roman"/>
        </w:rPr>
        <w:t>In particolare l</w:t>
      </w:r>
      <w:r w:rsidRPr="009F5292">
        <w:rPr>
          <w:rFonts w:cs="Times New Roman"/>
        </w:rPr>
        <w:t xml:space="preserve">a fervida dottrina liberistica toscana </w:t>
      </w:r>
      <w:r>
        <w:rPr>
          <w:rFonts w:cs="Times New Roman"/>
        </w:rPr>
        <w:t xml:space="preserve">addirittura </w:t>
      </w:r>
      <w:r w:rsidRPr="009F5292">
        <w:rPr>
          <w:rFonts w:cs="Times New Roman"/>
        </w:rPr>
        <w:t xml:space="preserve">contestava </w:t>
      </w:r>
      <w:r w:rsidRPr="009F5292">
        <w:rPr>
          <w:rFonts w:cs="Times New Roman"/>
          <w:i/>
        </w:rPr>
        <w:t>in toto</w:t>
      </w:r>
      <w:r w:rsidRPr="009F5292">
        <w:rPr>
          <w:rFonts w:cs="Times New Roman"/>
        </w:rPr>
        <w:t xml:space="preserve"> la finalità del reato, visto come contraddittorio e superfluo rispetto al principio di libertà economica</w:t>
      </w:r>
      <w:r w:rsidRPr="009F5292">
        <w:rPr>
          <w:rStyle w:val="Rimandonotaapidipagina"/>
          <w:rFonts w:cs="Times New Roman"/>
        </w:rPr>
        <w:footnoteReference w:id="7"/>
      </w:r>
      <w:r w:rsidRPr="009F5292">
        <w:rPr>
          <w:rFonts w:cs="Times New Roman"/>
        </w:rPr>
        <w:t>.</w:t>
      </w:r>
    </w:p>
    <w:p w14:paraId="539AA344" w14:textId="51D9DC42" w:rsidR="00CA0328" w:rsidRPr="003B25F5" w:rsidRDefault="00CA0328" w:rsidP="0074459A">
      <w:pPr>
        <w:spacing w:before="100" w:beforeAutospacing="1" w:line="276" w:lineRule="auto"/>
        <w:ind w:firstLine="454"/>
        <w:rPr>
          <w:rFonts w:cs="Times New Roman"/>
          <w:i/>
          <w:iCs/>
        </w:rPr>
      </w:pPr>
      <w:r w:rsidRPr="009F5292">
        <w:rPr>
          <w:rFonts w:cs="Times New Roman"/>
        </w:rPr>
        <w:t>Durante la redazione del codice Zanardelli</w:t>
      </w:r>
      <w:r w:rsidRPr="009F5292">
        <w:rPr>
          <w:rStyle w:val="Rimandonotaapidipagina"/>
          <w:rFonts w:cs="Times New Roman"/>
        </w:rPr>
        <w:footnoteReference w:id="8"/>
      </w:r>
      <w:r w:rsidRPr="009F5292">
        <w:rPr>
          <w:rFonts w:cs="Times New Roman"/>
        </w:rPr>
        <w:t xml:space="preserve"> </w:t>
      </w:r>
      <w:r>
        <w:rPr>
          <w:rFonts w:cs="Times New Roman"/>
        </w:rPr>
        <w:t>le</w:t>
      </w:r>
      <w:r w:rsidRPr="009F5292">
        <w:rPr>
          <w:rFonts w:cs="Times New Roman"/>
        </w:rPr>
        <w:t xml:space="preserve"> </w:t>
      </w:r>
      <w:r>
        <w:rPr>
          <w:rFonts w:cs="Times New Roman"/>
        </w:rPr>
        <w:t>opposte</w:t>
      </w:r>
      <w:r w:rsidRPr="009F5292">
        <w:rPr>
          <w:rFonts w:cs="Times New Roman"/>
        </w:rPr>
        <w:t xml:space="preserve"> tendenze</w:t>
      </w:r>
      <w:r>
        <w:rPr>
          <w:rFonts w:cs="Times New Roman"/>
        </w:rPr>
        <w:t xml:space="preserve"> sull’opportunità di prevedere l’illecito si </w:t>
      </w:r>
      <w:r w:rsidRPr="009F5292">
        <w:rPr>
          <w:rFonts w:cs="Times New Roman"/>
        </w:rPr>
        <w:t xml:space="preserve">affrontarono ed infine </w:t>
      </w:r>
      <w:r>
        <w:rPr>
          <w:rFonts w:cs="Times New Roman"/>
        </w:rPr>
        <w:t>il reato fu inserito</w:t>
      </w:r>
      <w:r w:rsidRPr="009F5292">
        <w:rPr>
          <w:rFonts w:cs="Times New Roman"/>
        </w:rPr>
        <w:t xml:space="preserve">, ma con una formula di compromesso che accompagnò alla diffusione di notizie false </w:t>
      </w:r>
      <w:r w:rsidR="00177733">
        <w:rPr>
          <w:rFonts w:cs="Times New Roman"/>
          <w:i/>
        </w:rPr>
        <w:t>«</w:t>
      </w:r>
      <w:r w:rsidRPr="0093576A">
        <w:rPr>
          <w:rFonts w:cs="Times New Roman"/>
          <w:i/>
        </w:rPr>
        <w:t>altri mezzi fraudolenti</w:t>
      </w:r>
      <w:r w:rsidR="00177733">
        <w:rPr>
          <w:rFonts w:cs="Times New Roman"/>
          <w:i/>
        </w:rPr>
        <w:t>»</w:t>
      </w:r>
      <w:r w:rsidRPr="009F5292">
        <w:rPr>
          <w:rFonts w:cs="Times New Roman"/>
        </w:rPr>
        <w:t>. L’articolo 293 del codice Zanardelli, come da ultimo formulato, prevedeva dunque che:</w:t>
      </w:r>
    </w:p>
    <w:p w14:paraId="6E7648CF" w14:textId="3BFCF2BE" w:rsidR="00CA0328" w:rsidRPr="0093576A" w:rsidRDefault="00177733" w:rsidP="0074459A">
      <w:pPr>
        <w:spacing w:before="100" w:beforeAutospacing="1" w:line="276" w:lineRule="auto"/>
        <w:ind w:firstLine="454"/>
        <w:rPr>
          <w:rFonts w:cs="Times New Roman"/>
          <w:i/>
        </w:rPr>
      </w:pPr>
      <w:r>
        <w:rPr>
          <w:rFonts w:cs="Times New Roman"/>
          <w:i/>
        </w:rPr>
        <w:t>«</w:t>
      </w:r>
      <w:r w:rsidR="00CA0328" w:rsidRPr="0093576A">
        <w:rPr>
          <w:rFonts w:cs="Times New Roman"/>
          <w:i/>
        </w:rPr>
        <w:t>Chiunque, col diffondere false notizie o con altri mezzi fraudolenti, produce sul pubblico mercato o nelle borse di commercio un aumento o una diminuzione dei prezzi di salarii, derrate, merci o titoli negoziabili sul pubblico mercato o ammessi nelle liste di borsa, è punito con la reclusione da tre a trenta mesi e con la multa da lire cinquecento a lire trentamila</w:t>
      </w:r>
      <w:r>
        <w:rPr>
          <w:rFonts w:cs="Times New Roman"/>
          <w:i/>
        </w:rPr>
        <w:t>»</w:t>
      </w:r>
      <w:r w:rsidR="00787258">
        <w:rPr>
          <w:rFonts w:cs="Times New Roman"/>
          <w:i/>
        </w:rPr>
        <w:t>.</w:t>
      </w:r>
    </w:p>
    <w:p w14:paraId="4AD4169F" w14:textId="4771219C" w:rsidR="00CA0328" w:rsidRDefault="00CA0328" w:rsidP="0074459A">
      <w:pPr>
        <w:spacing w:before="100" w:beforeAutospacing="1" w:line="276" w:lineRule="auto"/>
        <w:ind w:firstLine="454"/>
        <w:rPr>
          <w:rFonts w:cs="Times New Roman"/>
        </w:rPr>
      </w:pPr>
      <w:r w:rsidRPr="009F5292">
        <w:rPr>
          <w:rFonts w:cs="Times New Roman"/>
        </w:rPr>
        <w:t>All’aggiotaggio comune</w:t>
      </w:r>
      <w:r>
        <w:rPr>
          <w:rFonts w:cs="Times New Roman"/>
        </w:rPr>
        <w:t>,</w:t>
      </w:r>
      <w:r w:rsidRPr="009F5292">
        <w:rPr>
          <w:rFonts w:cs="Times New Roman"/>
        </w:rPr>
        <w:t xml:space="preserve"> inoltre</w:t>
      </w:r>
      <w:r>
        <w:rPr>
          <w:rFonts w:cs="Times New Roman"/>
        </w:rPr>
        <w:t>,</w:t>
      </w:r>
      <w:r w:rsidRPr="009F5292">
        <w:rPr>
          <w:rFonts w:cs="Times New Roman"/>
        </w:rPr>
        <w:t xml:space="preserve"> si aggiungeva la figura dell’aggiotaggio annonario. Il suo testo all’articolo 309 del Progetto Zanardelli del 1887 prevedeva la deficienza</w:t>
      </w:r>
      <w:r w:rsidR="00787258">
        <w:rPr>
          <w:rFonts w:cs="Times New Roman"/>
        </w:rPr>
        <w:t xml:space="preserve"> o il rincaro fittizio prodotto </w:t>
      </w:r>
      <w:r w:rsidR="00330A28">
        <w:rPr>
          <w:rFonts w:cs="Times New Roman"/>
          <w:i/>
        </w:rPr>
        <w:t>«</w:t>
      </w:r>
      <w:r w:rsidRPr="0093576A">
        <w:rPr>
          <w:rFonts w:cs="Times New Roman"/>
          <w:i/>
        </w:rPr>
        <w:t>mediante incetta o con altri mezzi consimili</w:t>
      </w:r>
      <w:r w:rsidR="00330A28">
        <w:rPr>
          <w:rFonts w:cs="Times New Roman"/>
          <w:i/>
        </w:rPr>
        <w:t xml:space="preserve">», </w:t>
      </w:r>
      <w:r w:rsidRPr="009F5292">
        <w:rPr>
          <w:rFonts w:cs="Times New Roman"/>
        </w:rPr>
        <w:t>che si sostanziava non in una condotta ingannatoria</w:t>
      </w:r>
      <w:r>
        <w:rPr>
          <w:rFonts w:cs="Times New Roman"/>
        </w:rPr>
        <w:t>,</w:t>
      </w:r>
      <w:r w:rsidRPr="009F5292">
        <w:rPr>
          <w:rFonts w:cs="Times New Roman"/>
        </w:rPr>
        <w:t xml:space="preserve"> ma in una posizione monopolistica. Anche su tale articolo non mancò il dibattito, incentrato sui principi del liberalismo classico e sull’opportunità dunque di punire la condotta di tipo monopolistico </w:t>
      </w:r>
      <w:r>
        <w:rPr>
          <w:rFonts w:cs="Times New Roman"/>
        </w:rPr>
        <w:t>dell’incetta, che sarebbe dovuta</w:t>
      </w:r>
      <w:r w:rsidRPr="009F5292">
        <w:rPr>
          <w:rFonts w:cs="Times New Roman"/>
        </w:rPr>
        <w:t xml:space="preserve"> essere compensata dal naturale equilibrio del mercato</w:t>
      </w:r>
      <w:r w:rsidRPr="009F5292">
        <w:rPr>
          <w:rStyle w:val="Rimandonotaapidipagina"/>
          <w:rFonts w:cs="Times New Roman"/>
        </w:rPr>
        <w:footnoteReference w:id="9"/>
      </w:r>
      <w:r w:rsidRPr="009F5292">
        <w:rPr>
          <w:rFonts w:cs="Times New Roman"/>
        </w:rPr>
        <w:t xml:space="preserve">. Le perplessità rispetto a tale norma speciale prevalsero e così la formulazione dell’aggiotaggio annonario ricalcò </w:t>
      </w:r>
      <w:r>
        <w:rPr>
          <w:rFonts w:cs="Times New Roman"/>
        </w:rPr>
        <w:t>quella dell’aggiotaggio comune.</w:t>
      </w:r>
    </w:p>
    <w:p w14:paraId="4574C17B" w14:textId="77777777" w:rsidR="00CA0328" w:rsidRPr="009F5292" w:rsidRDefault="00CA0328" w:rsidP="0074459A">
      <w:pPr>
        <w:spacing w:before="100" w:beforeAutospacing="1" w:line="276" w:lineRule="auto"/>
        <w:ind w:firstLine="454"/>
        <w:rPr>
          <w:rFonts w:cs="Times New Roman"/>
        </w:rPr>
      </w:pPr>
      <w:r w:rsidRPr="009F5292">
        <w:rPr>
          <w:rFonts w:cs="Times New Roman"/>
        </w:rPr>
        <w:t>Essa recitava:</w:t>
      </w:r>
    </w:p>
    <w:p w14:paraId="2B2F5EDB" w14:textId="4702D1B3" w:rsidR="00CA0328" w:rsidRPr="00A63C4A" w:rsidRDefault="00330A28" w:rsidP="0074459A">
      <w:pPr>
        <w:spacing w:before="100" w:beforeAutospacing="1" w:line="276" w:lineRule="auto"/>
        <w:ind w:firstLine="454"/>
        <w:rPr>
          <w:rFonts w:cs="Times New Roman"/>
          <w:i/>
        </w:rPr>
      </w:pPr>
      <w:r>
        <w:rPr>
          <w:rFonts w:cs="Times New Roman"/>
          <w:i/>
        </w:rPr>
        <w:t>«</w:t>
      </w:r>
      <w:r w:rsidR="00CA0328" w:rsidRPr="00A63C4A">
        <w:rPr>
          <w:rFonts w:cs="Times New Roman"/>
          <w:i/>
        </w:rPr>
        <w:t>Chiunque, col diffondere false notizie o con altri mezzi fraudolenti, produce la deficienza o il rincaro di sostanze alimentari è punito con la reclusione da uno a cinque anni e con la multa da lire cinquecento a lire cinquemila: alle quali è aggiunta l’interdizione temporanea dai pubblici ufficii, estesa all’esercizio della professione, se il colpevole sia un pubblico mediatore</w:t>
      </w:r>
      <w:r>
        <w:rPr>
          <w:rFonts w:cs="Times New Roman"/>
          <w:i/>
        </w:rPr>
        <w:t>».</w:t>
      </w:r>
    </w:p>
    <w:p w14:paraId="5356C2DC" w14:textId="3510E70A" w:rsidR="00CA0328" w:rsidRDefault="00CA0328" w:rsidP="0074459A">
      <w:pPr>
        <w:spacing w:before="100" w:beforeAutospacing="1" w:line="276" w:lineRule="auto"/>
        <w:ind w:firstLine="454"/>
        <w:rPr>
          <w:rFonts w:cs="Times New Roman"/>
        </w:rPr>
      </w:pPr>
      <w:r w:rsidRPr="009F5292">
        <w:rPr>
          <w:rFonts w:cs="Times New Roman"/>
        </w:rPr>
        <w:t xml:space="preserve">Anche in tale sede appare chiara la volontà del legislatore di non </w:t>
      </w:r>
      <w:r>
        <w:rPr>
          <w:rFonts w:cs="Times New Roman"/>
        </w:rPr>
        <w:t xml:space="preserve">ridurre la </w:t>
      </w:r>
      <w:r w:rsidR="004B4BFA">
        <w:rPr>
          <w:rFonts w:cs="Times New Roman"/>
        </w:rPr>
        <w:t>fattispecie al</w:t>
      </w:r>
      <w:r w:rsidRPr="009F5292">
        <w:rPr>
          <w:rFonts w:cs="Times New Roman"/>
        </w:rPr>
        <w:t xml:space="preserve"> </w:t>
      </w:r>
      <w:r>
        <w:rPr>
          <w:rFonts w:cs="Times New Roman"/>
        </w:rPr>
        <w:t>reato proprio di una o più categorie di</w:t>
      </w:r>
      <w:r w:rsidRPr="009F5292">
        <w:rPr>
          <w:rFonts w:cs="Times New Roman"/>
        </w:rPr>
        <w:t xml:space="preserve"> soggetti</w:t>
      </w:r>
      <w:r>
        <w:rPr>
          <w:rFonts w:cs="Times New Roman"/>
        </w:rPr>
        <w:t xml:space="preserve"> e persone</w:t>
      </w:r>
      <w:r w:rsidRPr="009F5292">
        <w:rPr>
          <w:rFonts w:cs="Times New Roman"/>
        </w:rPr>
        <w:t>,</w:t>
      </w:r>
      <w:r>
        <w:rPr>
          <w:rFonts w:cs="Times New Roman"/>
        </w:rPr>
        <w:t xml:space="preserve"> atteso che</w:t>
      </w:r>
      <w:r w:rsidRPr="009F5292">
        <w:rPr>
          <w:rFonts w:cs="Times New Roman"/>
        </w:rPr>
        <w:t xml:space="preserve"> la qualifica soggettiva</w:t>
      </w:r>
      <w:r>
        <w:rPr>
          <w:rFonts w:cs="Times New Roman"/>
        </w:rPr>
        <w:t xml:space="preserve"> </w:t>
      </w:r>
      <w:r w:rsidRPr="009F5292">
        <w:rPr>
          <w:rFonts w:cs="Times New Roman"/>
        </w:rPr>
        <w:t>costitu</w:t>
      </w:r>
      <w:r>
        <w:rPr>
          <w:rFonts w:cs="Times New Roman"/>
        </w:rPr>
        <w:t>isce</w:t>
      </w:r>
      <w:r w:rsidRPr="009F5292">
        <w:rPr>
          <w:rFonts w:cs="Times New Roman"/>
        </w:rPr>
        <w:t xml:space="preserve"> un’aggravante. </w:t>
      </w:r>
    </w:p>
    <w:p w14:paraId="427E60D1" w14:textId="77777777" w:rsidR="00CA0328" w:rsidRPr="009F5292" w:rsidRDefault="00CA0328" w:rsidP="0074459A">
      <w:pPr>
        <w:spacing w:before="100" w:beforeAutospacing="1" w:line="276" w:lineRule="auto"/>
        <w:ind w:firstLine="454"/>
        <w:rPr>
          <w:rFonts w:cs="Times New Roman"/>
        </w:rPr>
      </w:pPr>
      <w:r w:rsidRPr="009F5292">
        <w:rPr>
          <w:rFonts w:cs="Times New Roman"/>
        </w:rPr>
        <w:t xml:space="preserve">Il secondo comma dell’articolo 293 per l’appunto prescriveva che: </w:t>
      </w:r>
    </w:p>
    <w:p w14:paraId="0555052D" w14:textId="55F0C824" w:rsidR="00CA0328" w:rsidRPr="00A63C4A" w:rsidRDefault="00330A28" w:rsidP="0074459A">
      <w:pPr>
        <w:spacing w:before="100" w:beforeAutospacing="1" w:line="276" w:lineRule="auto"/>
        <w:ind w:firstLine="454"/>
        <w:rPr>
          <w:rFonts w:cs="Times New Roman"/>
          <w:i/>
        </w:rPr>
      </w:pPr>
      <w:r>
        <w:rPr>
          <w:rFonts w:cs="Times New Roman"/>
          <w:i/>
        </w:rPr>
        <w:t>«</w:t>
      </w:r>
      <w:r w:rsidR="00CA0328" w:rsidRPr="00A63C4A">
        <w:rPr>
          <w:rFonts w:cs="Times New Roman"/>
          <w:i/>
        </w:rPr>
        <w:t>Se il delitto è commesso da pubblici mediatori o da agenti di cambio, la pena è della reclusione da uno a cinque anni, dell’interdizione temporanea dai pubblici uffici, estesa all’esercizio della professione, e della multa oltre le lire mille</w:t>
      </w:r>
      <w:r>
        <w:rPr>
          <w:rFonts w:cs="Times New Roman"/>
          <w:i/>
        </w:rPr>
        <w:t>».</w:t>
      </w:r>
    </w:p>
    <w:p w14:paraId="02521764" w14:textId="77777777" w:rsidR="00CA0328" w:rsidRPr="009F5292" w:rsidRDefault="00CA0328" w:rsidP="0074459A">
      <w:pPr>
        <w:spacing w:before="100" w:beforeAutospacing="1" w:line="276" w:lineRule="auto"/>
        <w:ind w:firstLine="454"/>
        <w:rPr>
          <w:rFonts w:cs="Times New Roman"/>
        </w:rPr>
      </w:pPr>
      <w:r>
        <w:rPr>
          <w:rFonts w:cs="Times New Roman"/>
        </w:rPr>
        <w:t>Tali</w:t>
      </w:r>
      <w:r w:rsidRPr="009F5292">
        <w:rPr>
          <w:rFonts w:cs="Times New Roman"/>
        </w:rPr>
        <w:t xml:space="preserve"> norme </w:t>
      </w:r>
      <w:r>
        <w:rPr>
          <w:rFonts w:cs="Times New Roman"/>
        </w:rPr>
        <w:t xml:space="preserve">troveranno però </w:t>
      </w:r>
      <w:r w:rsidRPr="009F5292">
        <w:rPr>
          <w:rFonts w:cs="Times New Roman"/>
        </w:rPr>
        <w:t>una scarsa applicazione, avvenuta principalmente in periodo di guerra</w:t>
      </w:r>
      <w:r w:rsidRPr="009F5292">
        <w:rPr>
          <w:rStyle w:val="Rimandonotaapidipagina"/>
          <w:rFonts w:cs="Times New Roman"/>
        </w:rPr>
        <w:footnoteReference w:id="10"/>
      </w:r>
      <w:r w:rsidRPr="009F5292">
        <w:rPr>
          <w:rFonts w:cs="Times New Roman"/>
        </w:rPr>
        <w:t xml:space="preserve"> o in occasione delle speculazioni legate all’incetta di monete d’argento. In particolare tale ultimo fenomeno diede modo ai giudici di tornare a discutere le opposte posizioni sulla configurazione del precetto, spostando così il dibattito, appena sopito dalla decisione del legislatore di escludere l’incetta dall’ambito dell’aggiotaggio annonario, nelle corti di giustizia.</w:t>
      </w:r>
    </w:p>
    <w:p w14:paraId="22580496" w14:textId="10ADD11A" w:rsidR="00CA0328" w:rsidRDefault="00CA0328" w:rsidP="0074459A">
      <w:pPr>
        <w:spacing w:before="100" w:beforeAutospacing="1" w:line="276" w:lineRule="auto"/>
        <w:ind w:firstLine="454"/>
        <w:rPr>
          <w:rFonts w:cs="Times New Roman"/>
        </w:rPr>
      </w:pPr>
      <w:r>
        <w:rPr>
          <w:rFonts w:cs="Times New Roman"/>
        </w:rPr>
        <w:t>Da un lato vi era il</w:t>
      </w:r>
      <w:r w:rsidRPr="009F5292">
        <w:rPr>
          <w:rFonts w:cs="Times New Roman"/>
        </w:rPr>
        <w:t xml:space="preserve"> </w:t>
      </w:r>
      <w:r>
        <w:rPr>
          <w:rFonts w:cs="Times New Roman"/>
        </w:rPr>
        <w:t>Tribunale</w:t>
      </w:r>
      <w:r w:rsidRPr="009F5292">
        <w:rPr>
          <w:rFonts w:cs="Times New Roman"/>
        </w:rPr>
        <w:t xml:space="preserve"> di Milano che, interpretando una circolare del Ministero del Tesoro in cui prescriveva agli Intendenti di finanza di denunciare</w:t>
      </w:r>
      <w:r>
        <w:rPr>
          <w:rFonts w:cs="Times New Roman"/>
        </w:rPr>
        <w:t xml:space="preserve"> </w:t>
      </w:r>
      <w:r w:rsidRPr="009F5292">
        <w:rPr>
          <w:rFonts w:cs="Times New Roman"/>
        </w:rPr>
        <w:t>gli incettatori di moneta metallica, ne limitava la funzione a mezzo di scambio e la riteneva incompatibile con il lucro. Secondo tale giurisprudenza</w:t>
      </w:r>
      <w:r w:rsidRPr="009F5292">
        <w:rPr>
          <w:rStyle w:val="Rimandonotaapidipagina"/>
          <w:rFonts w:cs="Times New Roman"/>
        </w:rPr>
        <w:footnoteReference w:id="11"/>
      </w:r>
      <w:r w:rsidRPr="009F5292">
        <w:rPr>
          <w:rFonts w:cs="Times New Roman"/>
        </w:rPr>
        <w:t xml:space="preserve"> il profitto conseguito attraverso l’incetta e l’esportazione di monete d’argento, che costringeva i commercianti a reimportarle con grave esborso di denaro e con conseguente aumento del prezzo della moneta, era necessariamente fraudolento</w:t>
      </w:r>
      <w:r>
        <w:rPr>
          <w:rFonts w:cs="Times New Roman"/>
        </w:rPr>
        <w:t>,</w:t>
      </w:r>
      <w:r w:rsidRPr="009F5292">
        <w:rPr>
          <w:rFonts w:cs="Times New Roman"/>
        </w:rPr>
        <w:t xml:space="preserve"> in quanto lo strumento della moneta veniva usato per uno scopo diverso da quello per cui era stato creato e quindi il legislatore intendeva reprimer</w:t>
      </w:r>
      <w:r w:rsidR="004B4BFA">
        <w:rPr>
          <w:rFonts w:cs="Times New Roman"/>
        </w:rPr>
        <w:t>lo</w:t>
      </w:r>
      <w:r>
        <w:rPr>
          <w:rFonts w:cs="Times New Roman"/>
        </w:rPr>
        <w:t>.</w:t>
      </w:r>
    </w:p>
    <w:p w14:paraId="25B4BD3F" w14:textId="77777777" w:rsidR="00CA0328" w:rsidRPr="009F5292" w:rsidRDefault="00CA0328" w:rsidP="0074459A">
      <w:pPr>
        <w:spacing w:before="100" w:beforeAutospacing="1" w:line="276" w:lineRule="auto"/>
        <w:ind w:firstLine="454"/>
        <w:rPr>
          <w:rFonts w:cs="Times New Roman"/>
        </w:rPr>
      </w:pPr>
      <w:r w:rsidRPr="009F5292">
        <w:rPr>
          <w:rFonts w:cs="Times New Roman"/>
        </w:rPr>
        <w:t>A tali rilievi rispondeva la Corte di Appello di Brescia</w:t>
      </w:r>
      <w:r w:rsidRPr="009F5292">
        <w:rPr>
          <w:rStyle w:val="Rimandonotaapidipagina"/>
          <w:rFonts w:cs="Times New Roman"/>
        </w:rPr>
        <w:footnoteReference w:id="12"/>
      </w:r>
      <w:r>
        <w:rPr>
          <w:rFonts w:cs="Times New Roman"/>
        </w:rPr>
        <w:t>,</w:t>
      </w:r>
      <w:r w:rsidRPr="009F5292">
        <w:rPr>
          <w:rFonts w:cs="Times New Roman"/>
        </w:rPr>
        <w:t xml:space="preserve"> argomentando come non vi fosse alcuna differenza sostanziale tra il supposto abuso dell’incettatore e il lavoro del cambiavalute. Se infatti tale opera di raccolta di monete d’argento era dannosa per la comunità e quindi riprovevole, non vi era alcun atto ingannatorio e conseguentemente alcun reato</w:t>
      </w:r>
      <w:r w:rsidRPr="009F5292">
        <w:rPr>
          <w:rStyle w:val="Rimandonotaapidipagina"/>
          <w:rFonts w:cs="Times New Roman"/>
        </w:rPr>
        <w:footnoteReference w:id="13"/>
      </w:r>
      <w:r w:rsidRPr="009F5292">
        <w:rPr>
          <w:rFonts w:cs="Times New Roman"/>
        </w:rPr>
        <w:t>.</w:t>
      </w:r>
    </w:p>
    <w:p w14:paraId="21CCE0B2" w14:textId="77777777" w:rsidR="00CA0328" w:rsidRDefault="00CA0328" w:rsidP="0074459A">
      <w:pPr>
        <w:spacing w:before="100" w:beforeAutospacing="1" w:line="276" w:lineRule="auto"/>
        <w:ind w:firstLine="454"/>
        <w:rPr>
          <w:rFonts w:cs="Times New Roman"/>
        </w:rPr>
      </w:pPr>
      <w:r w:rsidRPr="009F5292">
        <w:rPr>
          <w:rFonts w:cs="Times New Roman"/>
        </w:rPr>
        <w:t>Anche se la Cassazione accolse infine la tesi della liceità della condotta</w:t>
      </w:r>
      <w:r w:rsidRPr="009F5292">
        <w:rPr>
          <w:rStyle w:val="Rimandonotaapidipagina"/>
          <w:rFonts w:cs="Times New Roman"/>
        </w:rPr>
        <w:footnoteReference w:id="14"/>
      </w:r>
      <w:r w:rsidRPr="009F5292">
        <w:rPr>
          <w:rFonts w:cs="Times New Roman"/>
        </w:rPr>
        <w:t xml:space="preserve">, il dibattito continuò in dottrina e si estese al significato </w:t>
      </w:r>
      <w:r>
        <w:rPr>
          <w:rFonts w:cs="Times New Roman"/>
        </w:rPr>
        <w:t>dell’aggiotaggio e della frode.</w:t>
      </w:r>
    </w:p>
    <w:p w14:paraId="4BD4D917" w14:textId="4A2D92AE" w:rsidR="00CA0328" w:rsidRDefault="00CA0328" w:rsidP="0074459A">
      <w:pPr>
        <w:spacing w:before="100" w:beforeAutospacing="1" w:line="276" w:lineRule="auto"/>
        <w:ind w:firstLine="454"/>
        <w:rPr>
          <w:rFonts w:cs="Times New Roman"/>
        </w:rPr>
      </w:pPr>
      <w:r w:rsidRPr="009F5292">
        <w:rPr>
          <w:rFonts w:cs="Times New Roman"/>
        </w:rPr>
        <w:t xml:space="preserve">Il punto nodale della vicenda era rappresentato dall’interpretazione della dicitura </w:t>
      </w:r>
      <w:r w:rsidR="00330A28">
        <w:rPr>
          <w:rFonts w:cs="Times New Roman"/>
          <w:i/>
        </w:rPr>
        <w:t>«</w:t>
      </w:r>
      <w:r w:rsidRPr="00663BEC">
        <w:rPr>
          <w:rFonts w:cs="Times New Roman"/>
          <w:i/>
        </w:rPr>
        <w:t>altri mezzi fraudolenti</w:t>
      </w:r>
      <w:r w:rsidR="00330A28">
        <w:rPr>
          <w:rFonts w:cs="Times New Roman"/>
          <w:i/>
        </w:rPr>
        <w:t xml:space="preserve">» </w:t>
      </w:r>
      <w:r w:rsidRPr="009F5292">
        <w:rPr>
          <w:rFonts w:cs="Times New Roman"/>
        </w:rPr>
        <w:t>negli articoli 293</w:t>
      </w:r>
      <w:r>
        <w:rPr>
          <w:rFonts w:cs="Times New Roman"/>
        </w:rPr>
        <w:t xml:space="preserve"> e 309. </w:t>
      </w:r>
    </w:p>
    <w:p w14:paraId="3F992BAF" w14:textId="7A44495F" w:rsidR="00CA0328" w:rsidRDefault="00CA0328" w:rsidP="0074459A">
      <w:pPr>
        <w:spacing w:before="100" w:beforeAutospacing="1" w:line="276" w:lineRule="auto"/>
        <w:ind w:firstLine="454"/>
        <w:rPr>
          <w:rFonts w:cs="Times New Roman"/>
        </w:rPr>
      </w:pPr>
      <w:r>
        <w:rPr>
          <w:rFonts w:cs="Times New Roman"/>
        </w:rPr>
        <w:t>Ove alcuni volevano dar</w:t>
      </w:r>
      <w:r w:rsidRPr="009F5292">
        <w:rPr>
          <w:rFonts w:cs="Times New Roman"/>
        </w:rPr>
        <w:t>e</w:t>
      </w:r>
      <w:r>
        <w:rPr>
          <w:rFonts w:cs="Times New Roman"/>
        </w:rPr>
        <w:t xml:space="preserve"> loro</w:t>
      </w:r>
      <w:r w:rsidRPr="009F5292">
        <w:rPr>
          <w:rFonts w:cs="Times New Roman"/>
        </w:rPr>
        <w:t xml:space="preserve"> una connotazione oggettiva, tale da richiedere una condotta obiettivamente diretta a trarre in inganno</w:t>
      </w:r>
      <w:r w:rsidRPr="009F5292">
        <w:rPr>
          <w:rStyle w:val="Rimandonotaapidipagina"/>
          <w:rFonts w:cs="Times New Roman"/>
        </w:rPr>
        <w:footnoteReference w:id="15"/>
      </w:r>
      <w:r w:rsidRPr="009F5292">
        <w:rPr>
          <w:rFonts w:cs="Times New Roman"/>
        </w:rPr>
        <w:t xml:space="preserve">, altri ritennero sufficienti mezzi fraudolenti </w:t>
      </w:r>
      <w:r w:rsidR="00330A28">
        <w:rPr>
          <w:rFonts w:cs="Times New Roman"/>
          <w:i/>
        </w:rPr>
        <w:t>«</w:t>
      </w:r>
      <w:r w:rsidRPr="00663BEC">
        <w:rPr>
          <w:rFonts w:cs="Times New Roman"/>
          <w:i/>
        </w:rPr>
        <w:t>in senso relativo</w:t>
      </w:r>
      <w:r w:rsidR="00330A28">
        <w:rPr>
          <w:rFonts w:cs="Times New Roman"/>
          <w:i/>
        </w:rPr>
        <w:t xml:space="preserve">», </w:t>
      </w:r>
      <w:r w:rsidRPr="009F5292">
        <w:rPr>
          <w:rFonts w:cs="Times New Roman"/>
        </w:rPr>
        <w:t>vale a dire idonei a produrre l’evento di rialzo o ribasso artificioso dei prezzi perseguito dall’agente</w:t>
      </w:r>
      <w:r w:rsidRPr="009F5292">
        <w:rPr>
          <w:rStyle w:val="Rimandonotaapidipagina"/>
          <w:rFonts w:cs="Times New Roman"/>
        </w:rPr>
        <w:footnoteReference w:id="16"/>
      </w:r>
      <w:r w:rsidRPr="009F5292">
        <w:rPr>
          <w:rFonts w:cs="Times New Roman"/>
        </w:rPr>
        <w:t>.</w:t>
      </w:r>
    </w:p>
    <w:p w14:paraId="722DBABA" w14:textId="6E9D6AF2" w:rsidR="00CA0328" w:rsidRDefault="00CA0328" w:rsidP="0074459A">
      <w:pPr>
        <w:spacing w:before="100" w:beforeAutospacing="1" w:line="276" w:lineRule="auto"/>
        <w:ind w:firstLine="454"/>
        <w:rPr>
          <w:rFonts w:cs="Times New Roman"/>
        </w:rPr>
      </w:pPr>
      <w:r w:rsidRPr="009F5292">
        <w:rPr>
          <w:rFonts w:cs="Times New Roman"/>
        </w:rPr>
        <w:t>La questione non ebbe soluzione concorde fino al caso Brusadelli, accaduto in prossimità dell’emanazione del codice penale Rocco. In tale occasione la Cassazione ribaltò il pronunciamento del Tribunale</w:t>
      </w:r>
      <w:r w:rsidRPr="009F5292">
        <w:rPr>
          <w:rStyle w:val="Rimandonotaapidipagina"/>
          <w:rFonts w:cs="Times New Roman"/>
        </w:rPr>
        <w:footnoteReference w:id="17"/>
      </w:r>
      <w:r w:rsidRPr="009F5292">
        <w:rPr>
          <w:rFonts w:cs="Times New Roman"/>
        </w:rPr>
        <w:t xml:space="preserve"> e della Corte d’Appello di Milano</w:t>
      </w:r>
      <w:r>
        <w:rPr>
          <w:rStyle w:val="Rimandonotaapidipagina"/>
          <w:rFonts w:cs="Times New Roman"/>
        </w:rPr>
        <w:footnoteReference w:id="18"/>
      </w:r>
      <w:r w:rsidRPr="009F5292">
        <w:rPr>
          <w:rFonts w:cs="Times New Roman"/>
        </w:rPr>
        <w:t xml:space="preserve">, che propugnavano la valutazione di fraudolenza in relazione allo scopo dell’agente, e chiarì come non potesse essere considerato fraudolento un mezzo che in effetti non lo è, e come </w:t>
      </w:r>
      <w:r>
        <w:rPr>
          <w:rFonts w:cs="Times New Roman"/>
        </w:rPr>
        <w:t xml:space="preserve">una </w:t>
      </w:r>
      <w:r w:rsidRPr="009F5292">
        <w:rPr>
          <w:rFonts w:cs="Times New Roman"/>
        </w:rPr>
        <w:t>attività lecita non potesse diventare illecita a causa del s</w:t>
      </w:r>
      <w:r>
        <w:rPr>
          <w:rFonts w:cs="Times New Roman"/>
        </w:rPr>
        <w:t>olo</w:t>
      </w:r>
      <w:r w:rsidRPr="009F5292">
        <w:rPr>
          <w:rFonts w:cs="Times New Roman"/>
        </w:rPr>
        <w:t xml:space="preserve"> ripetersi nel tempo e della sua ampiezza</w:t>
      </w:r>
      <w:r w:rsidRPr="009F5292">
        <w:rPr>
          <w:rStyle w:val="Rimandonotaapidipagina"/>
          <w:rFonts w:cs="Times New Roman"/>
        </w:rPr>
        <w:footnoteReference w:id="19"/>
      </w:r>
      <w:r w:rsidR="00D47F91">
        <w:rPr>
          <w:rFonts w:cs="Times New Roman"/>
        </w:rPr>
        <w:t>.</w:t>
      </w:r>
    </w:p>
    <w:p w14:paraId="5F616FD3" w14:textId="27E0D0DE" w:rsidR="00CA0328" w:rsidRPr="008E5905" w:rsidRDefault="00CA0328" w:rsidP="0074459A">
      <w:pPr>
        <w:pStyle w:val="Titolo2"/>
        <w:numPr>
          <w:ilvl w:val="0"/>
          <w:numId w:val="22"/>
        </w:numPr>
      </w:pPr>
      <w:bookmarkStart w:id="6" w:name="_Toc271023063"/>
      <w:bookmarkStart w:id="7" w:name="_Toc272493048"/>
      <w:r w:rsidRPr="008E5905">
        <w:t>Il codice Rocco</w:t>
      </w:r>
      <w:bookmarkEnd w:id="6"/>
      <w:r w:rsidR="00751D2E">
        <w:t>. Il problema della definizione di una condotta artificiosa</w:t>
      </w:r>
      <w:bookmarkEnd w:id="7"/>
      <w:r w:rsidRPr="008E5905">
        <w:t xml:space="preserve"> </w:t>
      </w:r>
    </w:p>
    <w:p w14:paraId="380BCE0A" w14:textId="3FB335BF" w:rsidR="00CA0328" w:rsidRDefault="00CA0328" w:rsidP="0074459A">
      <w:pPr>
        <w:spacing w:before="100" w:beforeAutospacing="1" w:line="276" w:lineRule="auto"/>
        <w:ind w:firstLine="454"/>
        <w:rPr>
          <w:rFonts w:cs="Times New Roman"/>
        </w:rPr>
      </w:pPr>
      <w:r w:rsidRPr="009F5292">
        <w:rPr>
          <w:rFonts w:cs="Times New Roman"/>
        </w:rPr>
        <w:t>Con il nuovo codice l’impronta penalistica cambi</w:t>
      </w:r>
      <w:r>
        <w:rPr>
          <w:rFonts w:cs="Times New Roman"/>
        </w:rPr>
        <w:t>ò</w:t>
      </w:r>
      <w:r w:rsidRPr="009F5292">
        <w:rPr>
          <w:rFonts w:cs="Times New Roman"/>
        </w:rPr>
        <w:t xml:space="preserve"> radicalmente: l’idea del ruolo centrale della Nazione, depositaria dei valori supremi</w:t>
      </w:r>
      <w:r w:rsidR="004B4BFA">
        <w:rPr>
          <w:rFonts w:cs="Times New Roman"/>
        </w:rPr>
        <w:t>,</w:t>
      </w:r>
      <w:r w:rsidRPr="009F5292">
        <w:rPr>
          <w:rFonts w:cs="Times New Roman"/>
        </w:rPr>
        <w:t xml:space="preserve"> in netta contrapposizione con i precedenti illuministici e liberali</w:t>
      </w:r>
      <w:r w:rsidR="004B4BFA">
        <w:rPr>
          <w:rFonts w:cs="Times New Roman"/>
        </w:rPr>
        <w:t>,</w:t>
      </w:r>
      <w:r>
        <w:rPr>
          <w:rFonts w:cs="Times New Roman"/>
        </w:rPr>
        <w:t xml:space="preserve"> </w:t>
      </w:r>
      <w:r w:rsidRPr="009F5292">
        <w:rPr>
          <w:rFonts w:cs="Times New Roman"/>
        </w:rPr>
        <w:t>è presente</w:t>
      </w:r>
      <w:r>
        <w:rPr>
          <w:rFonts w:cs="Times New Roman"/>
        </w:rPr>
        <w:t xml:space="preserve"> anche </w:t>
      </w:r>
      <w:r w:rsidRPr="009F5292">
        <w:rPr>
          <w:rFonts w:cs="Times New Roman"/>
        </w:rPr>
        <w:t>in tale sede</w:t>
      </w:r>
      <w:r>
        <w:rPr>
          <w:rFonts w:cs="Times New Roman"/>
        </w:rPr>
        <w:t>.</w:t>
      </w:r>
      <w:r w:rsidRPr="009F5292">
        <w:rPr>
          <w:rFonts w:cs="Times New Roman"/>
        </w:rPr>
        <w:t xml:space="preserve"> </w:t>
      </w:r>
      <w:r>
        <w:rPr>
          <w:rFonts w:cs="Times New Roman"/>
        </w:rPr>
        <w:t>L</w:t>
      </w:r>
      <w:r w:rsidRPr="009F5292">
        <w:rPr>
          <w:rFonts w:cs="Times New Roman"/>
        </w:rPr>
        <w:t>’individuo</w:t>
      </w:r>
      <w:r>
        <w:rPr>
          <w:rFonts w:cs="Times New Roman"/>
        </w:rPr>
        <w:t xml:space="preserve"> dunque</w:t>
      </w:r>
      <w:r w:rsidRPr="009F5292">
        <w:rPr>
          <w:rFonts w:cs="Times New Roman"/>
        </w:rPr>
        <w:t>, saldamente incardinato nelle categorie sociali corporative, trova ragione solo all’interno della comunità</w:t>
      </w:r>
      <w:r>
        <w:rPr>
          <w:rFonts w:cs="Times New Roman"/>
        </w:rPr>
        <w:t xml:space="preserve"> nazionale</w:t>
      </w:r>
      <w:r w:rsidRPr="009F5292">
        <w:rPr>
          <w:rFonts w:cs="Times New Roman"/>
        </w:rPr>
        <w:t>, che gli fornisce ideali, regole e lavoro</w:t>
      </w:r>
      <w:r w:rsidRPr="009F5292">
        <w:rPr>
          <w:rStyle w:val="Rimandonotaapidipagina"/>
          <w:rFonts w:cs="Times New Roman"/>
        </w:rPr>
        <w:footnoteReference w:id="20"/>
      </w:r>
      <w:r>
        <w:rPr>
          <w:rFonts w:cs="Times New Roman"/>
        </w:rPr>
        <w:t>.</w:t>
      </w:r>
    </w:p>
    <w:p w14:paraId="37EC2E0D" w14:textId="500DB988" w:rsidR="00CA0328" w:rsidRPr="009F5292" w:rsidRDefault="00CA0328" w:rsidP="0074459A">
      <w:pPr>
        <w:spacing w:before="100" w:beforeAutospacing="1" w:line="276" w:lineRule="auto"/>
        <w:ind w:firstLine="454"/>
        <w:rPr>
          <w:rFonts w:cs="Times New Roman"/>
        </w:rPr>
      </w:pPr>
      <w:r>
        <w:rPr>
          <w:rFonts w:cs="Times New Roman"/>
        </w:rPr>
        <w:t>Prima conseguenza fu</w:t>
      </w:r>
      <w:r w:rsidRPr="009F5292">
        <w:rPr>
          <w:rFonts w:cs="Times New Roman"/>
        </w:rPr>
        <w:t xml:space="preserve"> l’inserimento, al titolo VIII del libro II,</w:t>
      </w:r>
      <w:r>
        <w:rPr>
          <w:rFonts w:cs="Times New Roman"/>
        </w:rPr>
        <w:t xml:space="preserve"> intitolato</w:t>
      </w:r>
      <w:r w:rsidRPr="009F5292">
        <w:rPr>
          <w:rFonts w:cs="Times New Roman"/>
        </w:rPr>
        <w:t xml:space="preserve"> </w:t>
      </w:r>
      <w:r w:rsidR="00330A28">
        <w:rPr>
          <w:rFonts w:cs="Times New Roman"/>
          <w:i/>
        </w:rPr>
        <w:t>«</w:t>
      </w:r>
      <w:r>
        <w:rPr>
          <w:rFonts w:cs="Times New Roman"/>
          <w:i/>
        </w:rPr>
        <w:t>D</w:t>
      </w:r>
      <w:r w:rsidRPr="00663BEC">
        <w:rPr>
          <w:rFonts w:cs="Times New Roman"/>
          <w:i/>
        </w:rPr>
        <w:t>ei delitti contro l'economia pubbl</w:t>
      </w:r>
      <w:r w:rsidR="00330A28">
        <w:rPr>
          <w:rFonts w:cs="Times New Roman"/>
          <w:i/>
        </w:rPr>
        <w:t>ica, l'industria e il commercio»</w:t>
      </w:r>
      <w:r w:rsidRPr="009F5292">
        <w:rPr>
          <w:rFonts w:cs="Times New Roman"/>
        </w:rPr>
        <w:t xml:space="preserve">, </w:t>
      </w:r>
      <w:r>
        <w:rPr>
          <w:rFonts w:cs="Times New Roman"/>
        </w:rPr>
        <w:t xml:space="preserve">della fattispecie di aggiotaggio, </w:t>
      </w:r>
      <w:r w:rsidRPr="009F5292">
        <w:rPr>
          <w:rFonts w:cs="Times New Roman"/>
        </w:rPr>
        <w:t>rubrica</w:t>
      </w:r>
      <w:r>
        <w:rPr>
          <w:rFonts w:cs="Times New Roman"/>
        </w:rPr>
        <w:t>to all’art. 501 come</w:t>
      </w:r>
      <w:r w:rsidRPr="009F5292">
        <w:rPr>
          <w:rFonts w:cs="Times New Roman"/>
        </w:rPr>
        <w:t xml:space="preserve"> </w:t>
      </w:r>
      <w:r w:rsidR="00330A28">
        <w:rPr>
          <w:rFonts w:cs="Times New Roman"/>
          <w:i/>
        </w:rPr>
        <w:t>«</w:t>
      </w:r>
      <w:r>
        <w:rPr>
          <w:rFonts w:cs="Times New Roman"/>
          <w:i/>
        </w:rPr>
        <w:t>R</w:t>
      </w:r>
      <w:r w:rsidRPr="00663BEC">
        <w:rPr>
          <w:rFonts w:cs="Times New Roman"/>
          <w:i/>
        </w:rPr>
        <w:t>ialzo e ribasso fraudolento di prezzi sul pubblico mercato o nelle borse di commercio</w:t>
      </w:r>
      <w:r w:rsidR="00330A28">
        <w:rPr>
          <w:rFonts w:cs="Times New Roman"/>
          <w:i/>
        </w:rPr>
        <w:t>»</w:t>
      </w:r>
      <w:r>
        <w:rPr>
          <w:rFonts w:cs="Times New Roman"/>
        </w:rPr>
        <w:t>.</w:t>
      </w:r>
    </w:p>
    <w:p w14:paraId="365F4BF5" w14:textId="2FDE8866" w:rsidR="00CA0328" w:rsidRDefault="00CA0328" w:rsidP="0074459A">
      <w:pPr>
        <w:spacing w:before="100" w:beforeAutospacing="1" w:line="276" w:lineRule="auto"/>
        <w:ind w:firstLine="454"/>
        <w:rPr>
          <w:rFonts w:cs="Times New Roman"/>
        </w:rPr>
      </w:pPr>
      <w:r>
        <w:rPr>
          <w:rFonts w:cs="Times New Roman"/>
        </w:rPr>
        <w:t xml:space="preserve">A dispetto della netta </w:t>
      </w:r>
      <w:r w:rsidRPr="009F5292">
        <w:rPr>
          <w:rFonts w:cs="Times New Roman"/>
        </w:rPr>
        <w:t>posizione</w:t>
      </w:r>
      <w:r>
        <w:rPr>
          <w:rFonts w:cs="Times New Roman"/>
        </w:rPr>
        <w:t xml:space="preserve"> presa dal</w:t>
      </w:r>
      <w:r w:rsidRPr="009F5292">
        <w:rPr>
          <w:rFonts w:cs="Times New Roman"/>
        </w:rPr>
        <w:t xml:space="preserve"> codice Rocco in favore della difesa sociale, testimoniata peraltro dalla stessa previsione dell’aggiotaggio quale reato di pericolo</w:t>
      </w:r>
      <w:r w:rsidRPr="009F5292">
        <w:rPr>
          <w:rStyle w:val="Rimandonotaapidipagina"/>
          <w:rFonts w:cs="Times New Roman"/>
        </w:rPr>
        <w:footnoteReference w:id="21"/>
      </w:r>
      <w:r w:rsidRPr="009F5292">
        <w:rPr>
          <w:rFonts w:cs="Times New Roman"/>
        </w:rPr>
        <w:t xml:space="preserve"> e dalla fusione tra la sua forma comune e quella annonaria</w:t>
      </w:r>
      <w:r w:rsidRPr="009F5292">
        <w:rPr>
          <w:rStyle w:val="Rimandonotaapidipagina"/>
          <w:rFonts w:cs="Times New Roman"/>
        </w:rPr>
        <w:footnoteReference w:id="22"/>
      </w:r>
      <w:r w:rsidRPr="009F5292">
        <w:rPr>
          <w:rFonts w:cs="Times New Roman"/>
        </w:rPr>
        <w:t xml:space="preserve">, le questioni interpretative </w:t>
      </w:r>
      <w:r>
        <w:rPr>
          <w:rFonts w:cs="Times New Roman"/>
        </w:rPr>
        <w:t>relative alla</w:t>
      </w:r>
      <w:r w:rsidRPr="009F5292">
        <w:rPr>
          <w:rFonts w:cs="Times New Roman"/>
        </w:rPr>
        <w:t xml:space="preserve"> condotta tornarono nuovamente in auge. In particolare Vincenzo Manzini, redattore del Codice, riproponeva l’esempio della truffa per evidenziare</w:t>
      </w:r>
      <w:r>
        <w:rPr>
          <w:rFonts w:cs="Times New Roman"/>
        </w:rPr>
        <w:t xml:space="preserve"> che il reato potesse normalmente compiersi con un</w:t>
      </w:r>
      <w:r w:rsidRPr="009F5292">
        <w:rPr>
          <w:rFonts w:cs="Times New Roman"/>
        </w:rPr>
        <w:t xml:space="preserve"> mezzo di per sé lecito, </w:t>
      </w:r>
      <w:r>
        <w:rPr>
          <w:rFonts w:cs="Times New Roman"/>
        </w:rPr>
        <w:t>e come sia lo scopo che il soggetto da alla sua azione a rendere tale mezzo lecito o meno</w:t>
      </w:r>
      <w:r w:rsidRPr="009F5292">
        <w:rPr>
          <w:rFonts w:cs="Times New Roman"/>
        </w:rPr>
        <w:t xml:space="preserve">. </w:t>
      </w:r>
      <w:r>
        <w:rPr>
          <w:rFonts w:cs="Times New Roman"/>
        </w:rPr>
        <w:t>Ciò nonostante, a</w:t>
      </w:r>
      <w:r w:rsidRPr="009F5292">
        <w:rPr>
          <w:rFonts w:cs="Times New Roman"/>
        </w:rPr>
        <w:t>nche in tale occasione prevalse infine una soluzione di compromesso: il ministro Guardasigilli Arturo Rocco</w:t>
      </w:r>
      <w:r>
        <w:rPr>
          <w:rFonts w:cs="Times New Roman"/>
        </w:rPr>
        <w:t>,</w:t>
      </w:r>
      <w:r w:rsidRPr="009F5292">
        <w:rPr>
          <w:rFonts w:cs="Times New Roman"/>
        </w:rPr>
        <w:t xml:space="preserve"> nella sua relazione</w:t>
      </w:r>
      <w:r w:rsidRPr="009F5292">
        <w:rPr>
          <w:rStyle w:val="Rimandonotaapidipagina"/>
          <w:rFonts w:cs="Times New Roman"/>
        </w:rPr>
        <w:footnoteReference w:id="23"/>
      </w:r>
      <w:r>
        <w:rPr>
          <w:rFonts w:cs="Times New Roman"/>
        </w:rPr>
        <w:t>,</w:t>
      </w:r>
      <w:r w:rsidRPr="009F5292">
        <w:rPr>
          <w:rFonts w:cs="Times New Roman"/>
        </w:rPr>
        <w:t xml:space="preserve"> rinunci</w:t>
      </w:r>
      <w:r>
        <w:rPr>
          <w:rFonts w:cs="Times New Roman"/>
        </w:rPr>
        <w:t>ò</w:t>
      </w:r>
      <w:r w:rsidRPr="009F5292">
        <w:rPr>
          <w:rFonts w:cs="Times New Roman"/>
        </w:rPr>
        <w:t xml:space="preserve"> espressamente ad un’ardua indagine </w:t>
      </w:r>
      <w:r>
        <w:rPr>
          <w:rFonts w:cs="Times New Roman"/>
        </w:rPr>
        <w:t>in merito al</w:t>
      </w:r>
      <w:r w:rsidRPr="009F5292">
        <w:rPr>
          <w:rFonts w:cs="Times New Roman"/>
        </w:rPr>
        <w:t xml:space="preserve"> fine</w:t>
      </w:r>
      <w:r>
        <w:rPr>
          <w:rFonts w:cs="Times New Roman"/>
        </w:rPr>
        <w:t>,</w:t>
      </w:r>
      <w:r w:rsidRPr="009F5292">
        <w:rPr>
          <w:rFonts w:cs="Times New Roman"/>
        </w:rPr>
        <w:t xml:space="preserve"> quale unico vero discrimine tra condotta lecita e condotta illecita. </w:t>
      </w:r>
      <w:r>
        <w:rPr>
          <w:rFonts w:cs="Times New Roman"/>
        </w:rPr>
        <w:t>A</w:t>
      </w:r>
      <w:r w:rsidRPr="009F5292">
        <w:rPr>
          <w:rFonts w:cs="Times New Roman"/>
        </w:rPr>
        <w:t>l contrario</w:t>
      </w:r>
      <w:r>
        <w:rPr>
          <w:rFonts w:cs="Times New Roman"/>
        </w:rPr>
        <w:t xml:space="preserve"> optò</w:t>
      </w:r>
      <w:r w:rsidRPr="009F5292">
        <w:rPr>
          <w:rFonts w:cs="Times New Roman"/>
        </w:rPr>
        <w:t xml:space="preserve"> per qualificare ancora</w:t>
      </w:r>
      <w:r>
        <w:rPr>
          <w:rFonts w:cs="Times New Roman"/>
        </w:rPr>
        <w:t xml:space="preserve"> una volta</w:t>
      </w:r>
      <w:r w:rsidRPr="009F5292">
        <w:rPr>
          <w:rFonts w:cs="Times New Roman"/>
        </w:rPr>
        <w:t xml:space="preserve"> la condotta oggettivamente, ma in senso più ampio rispetto agli </w:t>
      </w:r>
      <w:r w:rsidR="00330A28">
        <w:rPr>
          <w:rFonts w:cs="Times New Roman"/>
          <w:i/>
        </w:rPr>
        <w:t>«</w:t>
      </w:r>
      <w:r w:rsidRPr="00663BEC">
        <w:rPr>
          <w:rFonts w:cs="Times New Roman"/>
          <w:i/>
        </w:rPr>
        <w:t>altri mezzi fraudolenti</w:t>
      </w:r>
      <w:r w:rsidR="00330A28">
        <w:rPr>
          <w:rFonts w:cs="Times New Roman"/>
          <w:i/>
        </w:rPr>
        <w:t>»</w:t>
      </w:r>
      <w:r w:rsidR="00787258">
        <w:rPr>
          <w:rFonts w:cs="Times New Roman"/>
          <w:i/>
        </w:rPr>
        <w:t xml:space="preserve"> </w:t>
      </w:r>
      <w:r w:rsidRPr="009F5292">
        <w:rPr>
          <w:rFonts w:cs="Times New Roman"/>
        </w:rPr>
        <w:t>del codice Zanardelli</w:t>
      </w:r>
      <w:r>
        <w:rPr>
          <w:rFonts w:cs="Times New Roman"/>
        </w:rPr>
        <w:t xml:space="preserve">, con la formula </w:t>
      </w:r>
      <w:r w:rsidR="00330A28">
        <w:rPr>
          <w:rFonts w:cs="Times New Roman"/>
          <w:i/>
        </w:rPr>
        <w:t>«</w:t>
      </w:r>
      <w:r w:rsidRPr="00663BEC">
        <w:rPr>
          <w:rFonts w:cs="Times New Roman"/>
          <w:i/>
        </w:rPr>
        <w:t>altri artifici</w:t>
      </w:r>
      <w:r w:rsidR="00330A28">
        <w:rPr>
          <w:rFonts w:cs="Times New Roman"/>
          <w:i/>
        </w:rPr>
        <w:t>»</w:t>
      </w:r>
      <w:r w:rsidRPr="009F5292">
        <w:rPr>
          <w:rFonts w:cs="Times New Roman"/>
        </w:rPr>
        <w:t>.</w:t>
      </w:r>
    </w:p>
    <w:p w14:paraId="00F1BD44" w14:textId="6419AF8C" w:rsidR="00CA0328" w:rsidRDefault="00CA0328" w:rsidP="0074459A">
      <w:pPr>
        <w:spacing w:before="100" w:beforeAutospacing="1" w:line="276" w:lineRule="auto"/>
        <w:ind w:firstLine="454"/>
        <w:rPr>
          <w:rFonts w:cs="Times New Roman"/>
        </w:rPr>
      </w:pPr>
      <w:r>
        <w:rPr>
          <w:rFonts w:cs="Times New Roman"/>
        </w:rPr>
        <w:t xml:space="preserve">La norma </w:t>
      </w:r>
      <w:r w:rsidRPr="009F5292">
        <w:rPr>
          <w:rFonts w:cs="Times New Roman"/>
        </w:rPr>
        <w:t>fu limitata nella sua applicazione da norme speciali anche immediatamente successive</w:t>
      </w:r>
      <w:r w:rsidRPr="009F5292">
        <w:rPr>
          <w:rStyle w:val="Rimandonotaapidipagina"/>
          <w:rFonts w:cs="Times New Roman"/>
        </w:rPr>
        <w:footnoteReference w:id="24"/>
      </w:r>
      <w:r w:rsidRPr="009F5292">
        <w:rPr>
          <w:rFonts w:cs="Times New Roman"/>
        </w:rPr>
        <w:t xml:space="preserve">, le quali peraltro tornarono ad usare la precedente dicitura di </w:t>
      </w:r>
      <w:r w:rsidR="00330A28">
        <w:rPr>
          <w:rFonts w:cs="Times New Roman"/>
          <w:i/>
        </w:rPr>
        <w:t>«</w:t>
      </w:r>
      <w:r w:rsidRPr="00E50683">
        <w:rPr>
          <w:rFonts w:cs="Times New Roman"/>
          <w:i/>
        </w:rPr>
        <w:t>altri mezzi fraudolenti</w:t>
      </w:r>
      <w:r w:rsidR="00330A28">
        <w:rPr>
          <w:rFonts w:cs="Times New Roman"/>
          <w:i/>
        </w:rPr>
        <w:t>»</w:t>
      </w:r>
      <w:r w:rsidRPr="009F5292">
        <w:rPr>
          <w:rFonts w:cs="Times New Roman"/>
        </w:rPr>
        <w:t>. Ciò portò nei fatti a far prevalere la tesi relativistico-soggettivista, seppur con alcuni temperamenti</w:t>
      </w:r>
      <w:r w:rsidRPr="009F5292">
        <w:rPr>
          <w:rStyle w:val="Rimandonotaapidipagina"/>
          <w:rFonts w:cs="Times New Roman"/>
        </w:rPr>
        <w:footnoteReference w:id="25"/>
      </w:r>
      <w:r w:rsidRPr="009F5292">
        <w:rPr>
          <w:rFonts w:cs="Times New Roman"/>
        </w:rPr>
        <w:t>.</w:t>
      </w:r>
    </w:p>
    <w:p w14:paraId="54F68336" w14:textId="77777777" w:rsidR="00CA0328" w:rsidRDefault="00CA0328" w:rsidP="0074459A">
      <w:pPr>
        <w:spacing w:before="100" w:beforeAutospacing="1" w:line="276" w:lineRule="auto"/>
        <w:ind w:firstLine="454"/>
        <w:rPr>
          <w:rFonts w:cs="Times New Roman"/>
        </w:rPr>
      </w:pPr>
      <w:r>
        <w:rPr>
          <w:rFonts w:cs="Times New Roman"/>
        </w:rPr>
        <w:t>Le fattispecie speciali in tema di aggiotaggio introdotte negli anni immediatamente successivi</w:t>
      </w:r>
      <w:r>
        <w:rPr>
          <w:rStyle w:val="Rimandonotaapidipagina"/>
          <w:rFonts w:cs="Times New Roman"/>
        </w:rPr>
        <w:footnoteReference w:id="26"/>
      </w:r>
      <w:r>
        <w:rPr>
          <w:rFonts w:cs="Times New Roman"/>
        </w:rPr>
        <w:t>, unitamente alla prevalente interpretazione della dottrina, stante la scarsa applicazione giurisprudenziale della fattispecie, assimilarono nei fatti i mezzi fraudolenti agli artifici</w:t>
      </w:r>
      <w:r>
        <w:rPr>
          <w:rStyle w:val="Rimandonotaapidipagina"/>
          <w:rFonts w:cs="Times New Roman"/>
        </w:rPr>
        <w:footnoteReference w:id="27"/>
      </w:r>
      <w:r>
        <w:rPr>
          <w:rFonts w:cs="Times New Roman"/>
        </w:rPr>
        <w:t>.</w:t>
      </w:r>
    </w:p>
    <w:p w14:paraId="1014A096" w14:textId="77777777" w:rsidR="00CA0328" w:rsidRDefault="00CA0328" w:rsidP="0074459A">
      <w:pPr>
        <w:spacing w:before="100" w:beforeAutospacing="1" w:line="276" w:lineRule="auto"/>
        <w:ind w:firstLine="454"/>
        <w:rPr>
          <w:rFonts w:cs="Times New Roman"/>
        </w:rPr>
      </w:pPr>
      <w:r>
        <w:rPr>
          <w:rFonts w:cs="Times New Roman"/>
        </w:rPr>
        <w:t>Dunque gli altri artifici sono quegli espedienti operativi, non rientranti tra la pubblicazione o divulgazione di notizie false, su cui tra poco si dirà, suscettibili di dare informazioni fuorvianti al mercato. Effetto della condotta è la rappresentazione di una situazione di mercato in realtà inesistente, o viceversa la falsa rappresentazione di una situazione di mercato esistente</w:t>
      </w:r>
      <w:r>
        <w:rPr>
          <w:rStyle w:val="Rimandonotaapidipagina"/>
          <w:rFonts w:cs="Times New Roman"/>
        </w:rPr>
        <w:footnoteReference w:id="28"/>
      </w:r>
      <w:r>
        <w:rPr>
          <w:rFonts w:cs="Times New Roman"/>
        </w:rPr>
        <w:t>; emblematico di tali azioni artificiose è il porre in essere operazioni simulate.</w:t>
      </w:r>
    </w:p>
    <w:p w14:paraId="6D460EBE" w14:textId="644C6EC6" w:rsidR="00CA0328" w:rsidRDefault="00CA0328" w:rsidP="0074459A">
      <w:pPr>
        <w:spacing w:before="100" w:beforeAutospacing="1" w:line="276" w:lineRule="auto"/>
        <w:ind w:firstLine="454"/>
        <w:rPr>
          <w:rFonts w:cs="Times New Roman"/>
        </w:rPr>
      </w:pPr>
      <w:r>
        <w:rPr>
          <w:rFonts w:cs="Times New Roman"/>
        </w:rPr>
        <w:t xml:space="preserve">Il codice Rocco </w:t>
      </w:r>
      <w:r w:rsidR="00751D2E">
        <w:rPr>
          <w:rFonts w:cs="Times New Roman"/>
        </w:rPr>
        <w:t xml:space="preserve">inoltre </w:t>
      </w:r>
      <w:r>
        <w:rPr>
          <w:rFonts w:cs="Times New Roman"/>
        </w:rPr>
        <w:t xml:space="preserve">precisa il dettato del codice Zanardelli con riferimento alla </w:t>
      </w:r>
      <w:r w:rsidR="00330A28">
        <w:rPr>
          <w:rFonts w:cs="Times New Roman"/>
          <w:i/>
        </w:rPr>
        <w:t>«</w:t>
      </w:r>
      <w:r w:rsidRPr="00E50683">
        <w:rPr>
          <w:rFonts w:cs="Times New Roman"/>
          <w:i/>
        </w:rPr>
        <w:t>diffusione di false notizie</w:t>
      </w:r>
      <w:r w:rsidR="00330A28">
        <w:rPr>
          <w:rFonts w:cs="Times New Roman"/>
          <w:i/>
        </w:rPr>
        <w:t>»</w:t>
      </w:r>
      <w:r>
        <w:rPr>
          <w:rFonts w:cs="Times New Roman"/>
        </w:rPr>
        <w:t>.</w:t>
      </w:r>
    </w:p>
    <w:p w14:paraId="33B07873" w14:textId="39B9F7C2" w:rsidR="00CA0328" w:rsidRDefault="00751D2E" w:rsidP="0074459A">
      <w:pPr>
        <w:spacing w:before="100" w:beforeAutospacing="1" w:line="276" w:lineRule="auto"/>
        <w:ind w:firstLine="454"/>
        <w:rPr>
          <w:rFonts w:cs="Times New Roman"/>
        </w:rPr>
      </w:pPr>
      <w:r>
        <w:rPr>
          <w:rFonts w:cs="Times New Roman"/>
        </w:rPr>
        <w:t>Da</w:t>
      </w:r>
      <w:r w:rsidR="00CA0328">
        <w:rPr>
          <w:rFonts w:cs="Times New Roman"/>
        </w:rPr>
        <w:t xml:space="preserve"> un lato affianca alla condotta di </w:t>
      </w:r>
      <w:r w:rsidR="00330A28">
        <w:rPr>
          <w:rFonts w:cs="Times New Roman"/>
          <w:i/>
        </w:rPr>
        <w:t>«</w:t>
      </w:r>
      <w:r w:rsidR="00CA0328" w:rsidRPr="00E50683">
        <w:rPr>
          <w:rFonts w:cs="Times New Roman"/>
          <w:i/>
        </w:rPr>
        <w:t>divulgazione di notizie</w:t>
      </w:r>
      <w:r w:rsidR="00330A28">
        <w:rPr>
          <w:rFonts w:cs="Times New Roman"/>
          <w:i/>
        </w:rPr>
        <w:t xml:space="preserve">» </w:t>
      </w:r>
      <w:r w:rsidR="00CA0328">
        <w:rPr>
          <w:rFonts w:cs="Times New Roman"/>
        </w:rPr>
        <w:t>la loro pubblicazione, dall’altro estende la categoria di notizie nocive non più solo alle notizie false, ma anche a quelle esagerate o tendenziose, sempre che, ovviamente, siano idonee a condizionare il comportamento di ampie cerchie di operatori.</w:t>
      </w:r>
    </w:p>
    <w:p w14:paraId="1409B410" w14:textId="77777777" w:rsidR="00CA0328" w:rsidRDefault="00CA0328" w:rsidP="0074459A">
      <w:pPr>
        <w:spacing w:before="100" w:beforeAutospacing="1" w:line="276" w:lineRule="auto"/>
        <w:ind w:firstLine="454"/>
        <w:rPr>
          <w:rFonts w:cs="Times New Roman"/>
        </w:rPr>
      </w:pPr>
      <w:r>
        <w:rPr>
          <w:rFonts w:cs="Times New Roman"/>
        </w:rPr>
        <w:t>Il contesto in cui la norma trova dunque applicazione è quello dei mercati nazionali dei valori e delle merci, tra cui rientrano la valuta e i titoli di credito da chiunque emessi; ne rimangono invece escluse le contrattazioni che, per la loro rilevanza, non incidevano sull’andamento economico della collettività. Il legislatore non volle altresì far rientrare nel campo di applicazione le paghe ed i salari, in quanto nell’ordinamento fascista del lavoro non era ammessa la libera determinazione del valore degli stessi e pertanto neanche teoricamente sarebbe stato configurabile un simile reato</w:t>
      </w:r>
      <w:r>
        <w:rPr>
          <w:rStyle w:val="Rimandonotaapidipagina"/>
          <w:rFonts w:cs="Times New Roman"/>
        </w:rPr>
        <w:footnoteReference w:id="29"/>
      </w:r>
      <w:r>
        <w:rPr>
          <w:rFonts w:cs="Times New Roman"/>
        </w:rPr>
        <w:t>.</w:t>
      </w:r>
    </w:p>
    <w:p w14:paraId="534D8CF3" w14:textId="3267CE9E" w:rsidR="00CA0328" w:rsidRDefault="00CA0328" w:rsidP="0074459A">
      <w:pPr>
        <w:spacing w:before="100" w:beforeAutospacing="1" w:line="276" w:lineRule="auto"/>
        <w:ind w:firstLine="454"/>
        <w:rPr>
          <w:rFonts w:cs="Times New Roman"/>
        </w:rPr>
      </w:pPr>
      <w:r>
        <w:rPr>
          <w:rFonts w:cs="Times New Roman"/>
        </w:rPr>
        <w:t xml:space="preserve">Viene infine previsto il dolo specifico di </w:t>
      </w:r>
      <w:r w:rsidR="00330A28">
        <w:rPr>
          <w:rFonts w:cs="Times New Roman"/>
          <w:i/>
        </w:rPr>
        <w:t>«</w:t>
      </w:r>
      <w:r w:rsidRPr="00E50683">
        <w:rPr>
          <w:rFonts w:cs="Times New Roman"/>
          <w:i/>
        </w:rPr>
        <w:t>turbare il mercato interno dei valori o delle merci</w:t>
      </w:r>
      <w:r w:rsidR="00330A28">
        <w:rPr>
          <w:rFonts w:cs="Times New Roman"/>
          <w:i/>
        </w:rPr>
        <w:t>»</w:t>
      </w:r>
      <w:r>
        <w:rPr>
          <w:rFonts w:cs="Times New Roman"/>
        </w:rPr>
        <w:t xml:space="preserve"> che tempera la previsione della fattispecie come reato di pericolo. Ciò esclude la configurabilità del dolo eventuale in quanto, se anche l’alterazione dei mercati non sarà il fine ultimo dell’agente, che piuttosto vorrà trarre vantaggio dalla situazione da lui creata, sarà comunque indispensabile la previsione ed il calcolo di tale evento</w:t>
      </w:r>
      <w:r>
        <w:rPr>
          <w:rStyle w:val="Rimandonotaapidipagina"/>
          <w:rFonts w:cs="Times New Roman"/>
        </w:rPr>
        <w:footnoteReference w:id="30"/>
      </w:r>
      <w:r>
        <w:rPr>
          <w:rFonts w:cs="Times New Roman"/>
        </w:rPr>
        <w:t>.</w:t>
      </w:r>
    </w:p>
    <w:p w14:paraId="61251686" w14:textId="77777777" w:rsidR="00CA0328" w:rsidRPr="009F5292" w:rsidRDefault="00CA0328" w:rsidP="0074459A">
      <w:pPr>
        <w:spacing w:before="100" w:beforeAutospacing="1" w:line="276" w:lineRule="auto"/>
        <w:ind w:firstLine="454"/>
        <w:rPr>
          <w:rFonts w:cs="Times New Roman"/>
        </w:rPr>
      </w:pPr>
      <w:r>
        <w:rPr>
          <w:rFonts w:cs="Times New Roman"/>
        </w:rPr>
        <w:t>Pertanto la fattispecie</w:t>
      </w:r>
      <w:r w:rsidRPr="009F5292">
        <w:rPr>
          <w:rFonts w:cs="Times New Roman"/>
        </w:rPr>
        <w:t xml:space="preserve"> da ultimo risultante</w:t>
      </w:r>
      <w:r>
        <w:rPr>
          <w:rFonts w:cs="Times New Roman"/>
        </w:rPr>
        <w:t>, prevista nel primo comma,</w:t>
      </w:r>
      <w:r w:rsidRPr="009F5292">
        <w:rPr>
          <w:rFonts w:cs="Times New Roman"/>
        </w:rPr>
        <w:t xml:space="preserve"> fu </w:t>
      </w:r>
      <w:r>
        <w:rPr>
          <w:rFonts w:cs="Times New Roman"/>
        </w:rPr>
        <w:t>la</w:t>
      </w:r>
      <w:r w:rsidRPr="009F5292">
        <w:rPr>
          <w:rFonts w:cs="Times New Roman"/>
        </w:rPr>
        <w:t xml:space="preserve"> seguente: </w:t>
      </w:r>
    </w:p>
    <w:p w14:paraId="66DE011F" w14:textId="1350A8B3" w:rsidR="00CA0328" w:rsidRPr="00630033" w:rsidRDefault="00330A28" w:rsidP="0074459A">
      <w:pPr>
        <w:spacing w:before="100" w:beforeAutospacing="1" w:line="276" w:lineRule="auto"/>
        <w:ind w:firstLine="454"/>
        <w:rPr>
          <w:rFonts w:cs="Times New Roman"/>
        </w:rPr>
      </w:pPr>
      <w:r>
        <w:rPr>
          <w:rFonts w:cs="Times New Roman"/>
          <w:i/>
        </w:rPr>
        <w:t>«</w:t>
      </w:r>
      <w:r w:rsidR="00CA0328" w:rsidRPr="00663BEC">
        <w:rPr>
          <w:rFonts w:cs="Times New Roman"/>
          <w:i/>
        </w:rPr>
        <w:t>Chiunque al fine di turbare il mercato interno dei valori o delle merci, pubblica o altrimenti divulga notizie false, esagerate o tendenziose o adopera altri artifici atti a cagionare un aumento o una diminuzione del prezzo delle merci, ovvero dei valori ammessi nelle liste di borsa o negoziabili nel pubblico mercato, è punito con la reclusione fino a tre anni e con la multa</w:t>
      </w:r>
      <w:r w:rsidR="00CA0328">
        <w:rPr>
          <w:rFonts w:cs="Times New Roman"/>
          <w:i/>
        </w:rPr>
        <w:t xml:space="preserve"> non inferiore a lire centoventimila</w:t>
      </w:r>
      <w:r>
        <w:rPr>
          <w:rFonts w:cs="Times New Roman"/>
          <w:i/>
        </w:rPr>
        <w:t>»</w:t>
      </w:r>
      <w:r w:rsidR="00CA0328">
        <w:rPr>
          <w:rFonts w:cs="Times New Roman"/>
          <w:i/>
        </w:rPr>
        <w:t>.</w:t>
      </w:r>
    </w:p>
    <w:p w14:paraId="6DDDF86C" w14:textId="6457838E" w:rsidR="00CA0328" w:rsidRPr="00663BEC" w:rsidRDefault="00CA0328" w:rsidP="0074459A">
      <w:pPr>
        <w:spacing w:before="100" w:beforeAutospacing="1" w:line="276" w:lineRule="auto"/>
        <w:ind w:firstLine="454"/>
        <w:rPr>
          <w:rFonts w:cs="Times New Roman"/>
          <w:i/>
        </w:rPr>
      </w:pPr>
      <w:r w:rsidRPr="00630033">
        <w:rPr>
          <w:rFonts w:cs="Times New Roman"/>
        </w:rPr>
        <w:t>Mentre i</w:t>
      </w:r>
      <w:r>
        <w:rPr>
          <w:rFonts w:cs="Times New Roman"/>
        </w:rPr>
        <w:t>l comma</w:t>
      </w:r>
      <w:r w:rsidRPr="00630033">
        <w:rPr>
          <w:rFonts w:cs="Times New Roman"/>
        </w:rPr>
        <w:t xml:space="preserve"> quarto</w:t>
      </w:r>
      <w:r>
        <w:rPr>
          <w:rFonts w:cs="Times New Roman"/>
        </w:rPr>
        <w:t xml:space="preserve"> precisa che </w:t>
      </w:r>
      <w:r w:rsidR="00330A28">
        <w:rPr>
          <w:rFonts w:cs="Times New Roman"/>
        </w:rPr>
        <w:t>«</w:t>
      </w:r>
      <w:r>
        <w:rPr>
          <w:rFonts w:cs="Times New Roman"/>
          <w:i/>
        </w:rPr>
        <w:t>l</w:t>
      </w:r>
      <w:r w:rsidRPr="00663BEC">
        <w:rPr>
          <w:rFonts w:cs="Times New Roman"/>
          <w:i/>
        </w:rPr>
        <w:t>e pene stabilite nelle disposizioni precedenti si applicano anche se il fatto è commesso all'estero, in danno della valuta nazionale o di titoli pubblici italiani</w:t>
      </w:r>
      <w:r w:rsidR="00330A28">
        <w:rPr>
          <w:rFonts w:cs="Times New Roman"/>
          <w:i/>
        </w:rPr>
        <w:t>»</w:t>
      </w:r>
      <w:r w:rsidRPr="00663BEC">
        <w:rPr>
          <w:rFonts w:cs="Times New Roman"/>
          <w:i/>
        </w:rPr>
        <w:t>.</w:t>
      </w:r>
    </w:p>
    <w:p w14:paraId="7790323B" w14:textId="47818FCA" w:rsidR="00CA0328" w:rsidRPr="003A5987" w:rsidRDefault="00CA0328" w:rsidP="0074459A">
      <w:pPr>
        <w:spacing w:before="100" w:beforeAutospacing="1" w:line="276" w:lineRule="auto"/>
        <w:ind w:firstLine="454"/>
        <w:rPr>
          <w:rFonts w:cs="Times New Roman"/>
        </w:rPr>
      </w:pPr>
      <w:r>
        <w:rPr>
          <w:rFonts w:cs="Times New Roman"/>
        </w:rPr>
        <w:t xml:space="preserve">Il </w:t>
      </w:r>
      <w:r w:rsidRPr="00630033">
        <w:rPr>
          <w:rFonts w:cs="Times New Roman"/>
        </w:rPr>
        <w:t>quinto</w:t>
      </w:r>
      <w:r>
        <w:rPr>
          <w:rFonts w:cs="Times New Roman"/>
        </w:rPr>
        <w:t xml:space="preserve"> comma inoltre, come pena accessoria, prevede che </w:t>
      </w:r>
      <w:r w:rsidR="00330A28">
        <w:rPr>
          <w:rFonts w:cs="Times New Roman"/>
        </w:rPr>
        <w:t>«</w:t>
      </w:r>
      <w:r>
        <w:rPr>
          <w:rFonts w:cs="Times New Roman"/>
          <w:i/>
        </w:rPr>
        <w:t>l</w:t>
      </w:r>
      <w:r w:rsidRPr="00663BEC">
        <w:rPr>
          <w:rFonts w:cs="Times New Roman"/>
          <w:i/>
        </w:rPr>
        <w:t>a condanna importa l'interdizione dai pubblici uffici</w:t>
      </w:r>
      <w:r w:rsidR="00330A28">
        <w:rPr>
          <w:rFonts w:cs="Times New Roman"/>
          <w:i/>
        </w:rPr>
        <w:t>»</w:t>
      </w:r>
      <w:r>
        <w:rPr>
          <w:rFonts w:cs="Times New Roman"/>
        </w:rPr>
        <w:t>.</w:t>
      </w:r>
    </w:p>
    <w:p w14:paraId="4F9344D4" w14:textId="77777777" w:rsidR="00CA0328" w:rsidRDefault="00CA0328" w:rsidP="0074459A">
      <w:pPr>
        <w:spacing w:before="100" w:beforeAutospacing="1" w:line="276" w:lineRule="auto"/>
        <w:ind w:firstLine="454"/>
        <w:rPr>
          <w:rFonts w:cs="Times New Roman"/>
        </w:rPr>
      </w:pPr>
      <w:r>
        <w:rPr>
          <w:rFonts w:cs="Times New Roman"/>
        </w:rPr>
        <w:t>Il legislatore inoltre ha previsto alcune aggravanti ai commi secondo e terzo, al fine di rendere più aderente la pena.</w:t>
      </w:r>
    </w:p>
    <w:p w14:paraId="5FC45759" w14:textId="478B0A77" w:rsidR="00CA0328" w:rsidRDefault="00CA0328" w:rsidP="0074459A">
      <w:pPr>
        <w:spacing w:before="100" w:beforeAutospacing="1" w:line="276" w:lineRule="auto"/>
        <w:ind w:firstLine="454"/>
        <w:rPr>
          <w:rFonts w:cs="Times New Roman"/>
        </w:rPr>
      </w:pPr>
      <w:r>
        <w:rPr>
          <w:rFonts w:cs="Times New Roman"/>
        </w:rPr>
        <w:t>In primo luogo affiancò alla fattispecie una espressa aggravante, nel caso l’evento di danno, costituito da</w:t>
      </w:r>
      <w:r w:rsidRPr="00637AEF">
        <w:rPr>
          <w:rFonts w:cs="Times New Roman"/>
          <w:i/>
        </w:rPr>
        <w:t xml:space="preserve"> </w:t>
      </w:r>
      <w:r w:rsidR="00787258">
        <w:rPr>
          <w:rFonts w:cs="Times New Roman"/>
          <w:i/>
        </w:rPr>
        <w:t>«</w:t>
      </w:r>
      <w:r w:rsidRPr="00663BEC">
        <w:rPr>
          <w:rFonts w:cs="Times New Roman"/>
          <w:i/>
        </w:rPr>
        <w:t xml:space="preserve">l'aumento o </w:t>
      </w:r>
      <w:r>
        <w:rPr>
          <w:rFonts w:cs="Times New Roman"/>
          <w:i/>
        </w:rPr>
        <w:t>[dal]</w:t>
      </w:r>
      <w:r w:rsidRPr="00663BEC">
        <w:rPr>
          <w:rFonts w:cs="Times New Roman"/>
          <w:i/>
        </w:rPr>
        <w:t>la diminuzione del prezzo delle merci o dei valori</w:t>
      </w:r>
      <w:r w:rsidR="00330A28">
        <w:rPr>
          <w:rFonts w:cs="Times New Roman"/>
          <w:i/>
        </w:rPr>
        <w:t>»</w:t>
      </w:r>
      <w:r>
        <w:rPr>
          <w:rFonts w:cs="Times New Roman"/>
        </w:rPr>
        <w:t xml:space="preserve"> si fosse verificato.</w:t>
      </w:r>
    </w:p>
    <w:p w14:paraId="0A57E579" w14:textId="1FC08978" w:rsidR="00CA0328" w:rsidRPr="00637AEF" w:rsidRDefault="00CA0328" w:rsidP="0074459A">
      <w:pPr>
        <w:spacing w:before="100" w:beforeAutospacing="1" w:line="276" w:lineRule="auto"/>
        <w:ind w:firstLine="454"/>
        <w:rPr>
          <w:rFonts w:cs="Times New Roman"/>
        </w:rPr>
      </w:pPr>
      <w:r>
        <w:rPr>
          <w:rFonts w:cs="Times New Roman"/>
        </w:rPr>
        <w:t>Inoltre il legislatore inserì alcune aggravanti ad effetto speciale, che comportano il raddoppio delle pene previste. Tali aggravanti sussistono quando</w:t>
      </w:r>
      <w:r>
        <w:rPr>
          <w:rFonts w:cs="Times New Roman"/>
          <w:i/>
        </w:rPr>
        <w:t xml:space="preserve"> </w:t>
      </w:r>
      <w:r w:rsidR="00330A28">
        <w:rPr>
          <w:rFonts w:cs="Times New Roman"/>
          <w:i/>
        </w:rPr>
        <w:t>«</w:t>
      </w:r>
      <w:r w:rsidRPr="00663BEC">
        <w:rPr>
          <w:rFonts w:cs="Times New Roman"/>
          <w:i/>
        </w:rPr>
        <w:t xml:space="preserve">il fatto </w:t>
      </w:r>
      <w:r>
        <w:rPr>
          <w:rFonts w:cs="Times New Roman"/>
          <w:i/>
        </w:rPr>
        <w:t>[sia stato]</w:t>
      </w:r>
      <w:r w:rsidRPr="00663BEC">
        <w:rPr>
          <w:rFonts w:cs="Times New Roman"/>
          <w:i/>
        </w:rPr>
        <w:t xml:space="preserve"> commesso dal cittadino per favorire interessi str</w:t>
      </w:r>
      <w:r>
        <w:rPr>
          <w:rFonts w:cs="Times New Roman"/>
          <w:i/>
        </w:rPr>
        <w:t>anieri</w:t>
      </w:r>
      <w:r w:rsidR="00330A28">
        <w:rPr>
          <w:rFonts w:cs="Times New Roman"/>
          <w:i/>
        </w:rPr>
        <w:t xml:space="preserve">» </w:t>
      </w:r>
      <w:r w:rsidRPr="00637AEF">
        <w:rPr>
          <w:rFonts w:cs="Times New Roman"/>
        </w:rPr>
        <w:t>ovvero</w:t>
      </w:r>
      <w:r>
        <w:rPr>
          <w:rFonts w:cs="Times New Roman"/>
          <w:i/>
        </w:rPr>
        <w:t xml:space="preserve"> </w:t>
      </w:r>
      <w:r w:rsidR="00330A28">
        <w:rPr>
          <w:rFonts w:cs="Times New Roman"/>
          <w:i/>
        </w:rPr>
        <w:t>«</w:t>
      </w:r>
      <w:r>
        <w:rPr>
          <w:rFonts w:cs="Times New Roman"/>
          <w:i/>
        </w:rPr>
        <w:t xml:space="preserve">un </w:t>
      </w:r>
      <w:r w:rsidRPr="00663BEC">
        <w:rPr>
          <w:rFonts w:cs="Times New Roman"/>
          <w:i/>
        </w:rPr>
        <w:t>deprezzamento della valuta nazionale o dei titoli dello Stato, ovvero il rincaro di merci di comune o largo consumo</w:t>
      </w:r>
      <w:r w:rsidR="00330A28">
        <w:rPr>
          <w:rFonts w:cs="Times New Roman"/>
          <w:i/>
        </w:rPr>
        <w:t>»</w:t>
      </w:r>
      <w:r>
        <w:rPr>
          <w:rFonts w:cs="Times New Roman"/>
          <w:i/>
        </w:rPr>
        <w:t xml:space="preserve"> </w:t>
      </w:r>
      <w:r>
        <w:rPr>
          <w:rFonts w:cs="Times New Roman"/>
        </w:rPr>
        <w:t>derivi come conseguenza da</w:t>
      </w:r>
      <w:r w:rsidRPr="00637AEF">
        <w:rPr>
          <w:rFonts w:cs="Times New Roman"/>
        </w:rPr>
        <w:t>l</w:t>
      </w:r>
      <w:r>
        <w:rPr>
          <w:rFonts w:cs="Times New Roman"/>
        </w:rPr>
        <w:t>le azioni dell’agente</w:t>
      </w:r>
      <w:r w:rsidRPr="00637AEF">
        <w:rPr>
          <w:rFonts w:cs="Times New Roman"/>
        </w:rPr>
        <w:t>.</w:t>
      </w:r>
      <w:r>
        <w:rPr>
          <w:rFonts w:cs="Times New Roman"/>
        </w:rPr>
        <w:t xml:space="preserve"> Si conferma così un impianto ulteriormente repressivo verso coloro che, oltre agire in contraddizione con la legge penale, si fossero posti contro gli interessi dell’ordinamento nelle sue diverse forme o di interesse dello Stato ovvero di interesse della generalità della popolazione.</w:t>
      </w:r>
    </w:p>
    <w:p w14:paraId="690B1B43" w14:textId="2CE00DD9" w:rsidR="00CA0328" w:rsidRPr="00ED47CB" w:rsidRDefault="00751D2E" w:rsidP="0074459A">
      <w:pPr>
        <w:pStyle w:val="Titolo2"/>
        <w:numPr>
          <w:ilvl w:val="0"/>
          <w:numId w:val="22"/>
        </w:numPr>
      </w:pPr>
      <w:bookmarkStart w:id="8" w:name="_Toc271023067"/>
      <w:bookmarkStart w:id="9" w:name="_Toc272493049"/>
      <w:r>
        <w:t>Interpretazione e applicazione dell’aggiotaggio nell</w:t>
      </w:r>
      <w:r w:rsidR="00CA0328" w:rsidRPr="00ED47CB">
        <w:t>a giurisprudenza successiva all’emanazione del codice Rocco</w:t>
      </w:r>
      <w:bookmarkEnd w:id="8"/>
      <w:bookmarkEnd w:id="9"/>
    </w:p>
    <w:p w14:paraId="2B848AA2" w14:textId="77777777" w:rsidR="00CA0328" w:rsidRPr="000501BF" w:rsidRDefault="00CA0328" w:rsidP="0074459A">
      <w:pPr>
        <w:spacing w:before="100" w:beforeAutospacing="1" w:line="276" w:lineRule="auto"/>
        <w:ind w:firstLine="454"/>
        <w:rPr>
          <w:rFonts w:cs="Times New Roman"/>
        </w:rPr>
      </w:pPr>
      <w:r w:rsidRPr="009F5292">
        <w:rPr>
          <w:rFonts w:cs="Times New Roman"/>
        </w:rPr>
        <w:t>È dunque</w:t>
      </w:r>
      <w:r w:rsidRPr="000501BF">
        <w:rPr>
          <w:rFonts w:cs="Times New Roman"/>
        </w:rPr>
        <w:t xml:space="preserve"> il caso di dar conto della giurisprudenza, peraltro non corposa stante la scarsa applicazione del reato stesso</w:t>
      </w:r>
      <w:r>
        <w:rPr>
          <w:rStyle w:val="Rimandonotaapidipagina"/>
          <w:rFonts w:cs="Times New Roman"/>
        </w:rPr>
        <w:footnoteReference w:id="31"/>
      </w:r>
      <w:r w:rsidRPr="000501BF">
        <w:rPr>
          <w:rFonts w:cs="Times New Roman"/>
        </w:rPr>
        <w:t>, che ha riguardato l’art</w:t>
      </w:r>
      <w:r>
        <w:rPr>
          <w:rFonts w:cs="Times New Roman"/>
        </w:rPr>
        <w:t>.</w:t>
      </w:r>
      <w:r w:rsidRPr="000501BF">
        <w:rPr>
          <w:rFonts w:cs="Times New Roman"/>
        </w:rPr>
        <w:t xml:space="preserve"> 501</w:t>
      </w:r>
      <w:r>
        <w:rPr>
          <w:rFonts w:cs="Times New Roman"/>
        </w:rPr>
        <w:t xml:space="preserve"> c.p. dalla sua emanazione fino alla legge </w:t>
      </w:r>
      <w:r w:rsidRPr="000501BF">
        <w:rPr>
          <w:rFonts w:cs="Times New Roman"/>
        </w:rPr>
        <w:t>17 maggio 1991, n. 157</w:t>
      </w:r>
      <w:r>
        <w:rPr>
          <w:rFonts w:cs="Times New Roman"/>
        </w:rPr>
        <w:t>, che ha previsto una ipotesi speciale di aggiotaggio finanziario, su cui verte l’indagine del presente scritto.</w:t>
      </w:r>
    </w:p>
    <w:p w14:paraId="16C72C24" w14:textId="2480D636" w:rsidR="00CA0328" w:rsidRDefault="00CA0328" w:rsidP="0074459A">
      <w:pPr>
        <w:spacing w:before="100" w:beforeAutospacing="1" w:line="276" w:lineRule="auto"/>
        <w:ind w:firstLine="454"/>
        <w:rPr>
          <w:rFonts w:cs="Times New Roman"/>
        </w:rPr>
      </w:pPr>
      <w:r>
        <w:rPr>
          <w:rFonts w:cs="Times New Roman"/>
        </w:rPr>
        <w:t>Va presa anzitutto in considerazione la giurisprudenza</w:t>
      </w:r>
      <w:r>
        <w:rPr>
          <w:rStyle w:val="Rimandonotaapidipagina"/>
          <w:rFonts w:cs="Times New Roman"/>
        </w:rPr>
        <w:footnoteReference w:id="32"/>
      </w:r>
      <w:r>
        <w:rPr>
          <w:rFonts w:cs="Times New Roman"/>
        </w:rPr>
        <w:t xml:space="preserve"> sotto il profilo dell’elemento oggettivo del reato. A tal proposito, nella prima pronuncia rinvenuta dopo l’entrata in vigore del codice Rocco, nota come il caso “Smerdu”, la Corte di Cassazione</w:t>
      </w:r>
      <w:r>
        <w:rPr>
          <w:rStyle w:val="Rimandonotaapidipagina"/>
          <w:rFonts w:cs="Times New Roman"/>
        </w:rPr>
        <w:footnoteReference w:id="33"/>
      </w:r>
      <w:r>
        <w:rPr>
          <w:rFonts w:cs="Times New Roman"/>
        </w:rPr>
        <w:t xml:space="preserve"> evidenzia che, pur essendo il mercato di riferimento quello interno, possono rilevare di volta in volta anche </w:t>
      </w:r>
      <w:r w:rsidR="00787258">
        <w:rPr>
          <w:rFonts w:cs="Times New Roman"/>
          <w:i/>
        </w:rPr>
        <w:t>«</w:t>
      </w:r>
      <w:r w:rsidRPr="004A3E33">
        <w:rPr>
          <w:rFonts w:cs="Times New Roman"/>
          <w:i/>
        </w:rPr>
        <w:t>ognuno dei nuclei diversi</w:t>
      </w:r>
      <w:r w:rsidR="00787258">
        <w:rPr>
          <w:rFonts w:cs="Times New Roman"/>
          <w:i/>
        </w:rPr>
        <w:t>»</w:t>
      </w:r>
      <w:r>
        <w:rPr>
          <w:rFonts w:cs="Times New Roman"/>
        </w:rPr>
        <w:t xml:space="preserve"> che lo compongono. La condotta potrà essere dunque posta in essere anche in una parte soltanto del territorio nazionale, ma sufficientemente vasta da poter nuocere all’economia</w:t>
      </w:r>
      <w:r>
        <w:rPr>
          <w:rStyle w:val="Rimandonotaapidipagina"/>
          <w:rFonts w:cs="Times New Roman"/>
        </w:rPr>
        <w:footnoteReference w:id="34"/>
      </w:r>
      <w:r>
        <w:rPr>
          <w:rFonts w:cs="Times New Roman"/>
        </w:rPr>
        <w:t>, mentre invece saranno escluse le operazioni che influenzano il solo mercato estero</w:t>
      </w:r>
      <w:r>
        <w:rPr>
          <w:rStyle w:val="Rimandonotaapidipagina"/>
          <w:rFonts w:cs="Times New Roman"/>
        </w:rPr>
        <w:footnoteReference w:id="35"/>
      </w:r>
      <w:r>
        <w:rPr>
          <w:rFonts w:cs="Times New Roman"/>
        </w:rPr>
        <w:t>.</w:t>
      </w:r>
    </w:p>
    <w:p w14:paraId="71F518E6" w14:textId="77777777" w:rsidR="00CA0328" w:rsidRDefault="00CA0328" w:rsidP="0074459A">
      <w:pPr>
        <w:spacing w:before="100" w:beforeAutospacing="1" w:line="276" w:lineRule="auto"/>
        <w:ind w:firstLine="454"/>
        <w:rPr>
          <w:rFonts w:cs="Times New Roman"/>
        </w:rPr>
      </w:pPr>
      <w:r>
        <w:rPr>
          <w:rFonts w:cs="Times New Roman"/>
        </w:rPr>
        <w:t>Inoltre la stessa Corte chiarisce come anche una condotta di sottrazione di merce, nel caso di specie si trattava di più di nove quintali di olio di semi, potesse configurare il delitto di manipolazione di mercato</w:t>
      </w:r>
      <w:r>
        <w:rPr>
          <w:rStyle w:val="Rimandonotaapidipagina"/>
          <w:rFonts w:cs="Times New Roman"/>
        </w:rPr>
        <w:footnoteReference w:id="36"/>
      </w:r>
      <w:r>
        <w:rPr>
          <w:rFonts w:cs="Times New Roman"/>
        </w:rPr>
        <w:t xml:space="preserve">. </w:t>
      </w:r>
    </w:p>
    <w:p w14:paraId="62C915C1" w14:textId="77777777" w:rsidR="00CA0328" w:rsidRDefault="00CA0328" w:rsidP="0074459A">
      <w:pPr>
        <w:spacing w:before="100" w:beforeAutospacing="1" w:line="276" w:lineRule="auto"/>
        <w:ind w:firstLine="454"/>
        <w:rPr>
          <w:rFonts w:cs="Times New Roman"/>
        </w:rPr>
      </w:pPr>
      <w:r>
        <w:rPr>
          <w:rFonts w:cs="Times New Roman"/>
        </w:rPr>
        <w:t xml:space="preserve">In una successiva pronuncia, sempre di epoca fascista, si afferma </w:t>
      </w:r>
      <w:r w:rsidRPr="00CD66D0">
        <w:rPr>
          <w:rFonts w:cs="Times New Roman"/>
        </w:rPr>
        <w:t>non costituisc</w:t>
      </w:r>
      <w:r>
        <w:rPr>
          <w:rFonts w:cs="Times New Roman"/>
        </w:rPr>
        <w:t>a</w:t>
      </w:r>
      <w:r w:rsidRPr="00CD66D0">
        <w:rPr>
          <w:rFonts w:cs="Times New Roman"/>
        </w:rPr>
        <w:t xml:space="preserve"> reato la sottrazione di 34 kg. di caffè per la irrisorietà della sua quantità rispetto al consumo nazionale e per l’inidoneità della condotta ad influire sull’andamento dei prezzi in un regime calmierato</w:t>
      </w:r>
      <w:r w:rsidRPr="00CD66D0">
        <w:rPr>
          <w:rStyle w:val="Rimandonotaapidipagina"/>
          <w:rFonts w:cs="Times New Roman"/>
        </w:rPr>
        <w:footnoteReference w:id="37"/>
      </w:r>
      <w:r>
        <w:rPr>
          <w:rFonts w:cs="Times New Roman"/>
        </w:rPr>
        <w:t>.</w:t>
      </w:r>
    </w:p>
    <w:p w14:paraId="57548406" w14:textId="77777777" w:rsidR="00CA0328" w:rsidRDefault="00CA0328" w:rsidP="0074459A">
      <w:pPr>
        <w:spacing w:before="100" w:beforeAutospacing="1" w:line="276" w:lineRule="auto"/>
        <w:ind w:firstLine="454"/>
        <w:rPr>
          <w:rFonts w:cs="Times New Roman"/>
        </w:rPr>
      </w:pPr>
      <w:r w:rsidRPr="00CD66D0">
        <w:rPr>
          <w:rFonts w:cs="Times New Roman"/>
        </w:rPr>
        <w:t xml:space="preserve">Si può peraltro notare come tali sentenze si pongano in sintonia con la linea di pensiero e le esigenze del momento storico, che </w:t>
      </w:r>
      <w:r>
        <w:rPr>
          <w:rFonts w:cs="Times New Roman"/>
        </w:rPr>
        <w:t>vedeva un’</w:t>
      </w:r>
      <w:r w:rsidRPr="00CD66D0">
        <w:rPr>
          <w:rFonts w:cs="Times New Roman"/>
        </w:rPr>
        <w:t>economia fortemente regolamentata, improntata all’autosufficienza nazionale e alla prospettiva del secondo conflitto mondiale.</w:t>
      </w:r>
    </w:p>
    <w:p w14:paraId="6059BE22" w14:textId="77777777" w:rsidR="00CA0328" w:rsidRPr="00CD66D0" w:rsidRDefault="00CA0328" w:rsidP="0074459A">
      <w:pPr>
        <w:spacing w:before="100" w:beforeAutospacing="1" w:line="276" w:lineRule="auto"/>
        <w:ind w:firstLine="454"/>
        <w:rPr>
          <w:rFonts w:cs="Times New Roman"/>
        </w:rPr>
      </w:pPr>
      <w:r>
        <w:rPr>
          <w:rFonts w:cs="Times New Roman"/>
        </w:rPr>
        <w:t>Anche al cambiare delle circostanze storiche però la linea sembra mantenersi costante. Si deve a tal proposito registrare una sentenza della Cassazione, pronunciata oltre quarant’anni dopo, che ritiene</w:t>
      </w:r>
      <w:r w:rsidRPr="00CD66D0">
        <w:rPr>
          <w:rFonts w:cs="Times New Roman"/>
        </w:rPr>
        <w:t xml:space="preserve"> configurabile il delitto di </w:t>
      </w:r>
      <w:r>
        <w:rPr>
          <w:rFonts w:cs="Times New Roman"/>
        </w:rPr>
        <w:t>manipolazione del mercato</w:t>
      </w:r>
      <w:r w:rsidRPr="00CD66D0">
        <w:rPr>
          <w:rFonts w:cs="Times New Roman"/>
        </w:rPr>
        <w:t xml:space="preserve"> sia in un regime di prezzi formati in base alle regole di mercato, sia quando i prezzi sono </w:t>
      </w:r>
      <w:r>
        <w:rPr>
          <w:rFonts w:cs="Times New Roman"/>
        </w:rPr>
        <w:t xml:space="preserve">stati </w:t>
      </w:r>
      <w:r w:rsidRPr="00CD66D0">
        <w:rPr>
          <w:rFonts w:cs="Times New Roman"/>
        </w:rPr>
        <w:t>determinati dall’autorità pubblica</w:t>
      </w:r>
      <w:r w:rsidRPr="00CD66D0">
        <w:rPr>
          <w:rStyle w:val="Rimandonotaapidipagina"/>
          <w:rFonts w:cs="Times New Roman"/>
        </w:rPr>
        <w:footnoteReference w:id="38"/>
      </w:r>
      <w:r>
        <w:rPr>
          <w:rFonts w:cs="Times New Roman"/>
        </w:rPr>
        <w:t>, anche se autorevole dottrina ritiene necessario che l’agente acquisisca una posizione dominante sul mercato</w:t>
      </w:r>
      <w:r>
        <w:rPr>
          <w:rStyle w:val="Rimandonotaapidipagina"/>
          <w:rFonts w:cs="Times New Roman"/>
        </w:rPr>
        <w:footnoteReference w:id="39"/>
      </w:r>
      <w:r>
        <w:rPr>
          <w:rFonts w:cs="Times New Roman"/>
        </w:rPr>
        <w:t>. Una coeva pronuncia della Suprema Corte</w:t>
      </w:r>
      <w:r>
        <w:rPr>
          <w:rStyle w:val="Rimandonotaapidipagina"/>
          <w:rFonts w:cs="Times New Roman"/>
        </w:rPr>
        <w:footnoteReference w:id="40"/>
      </w:r>
      <w:r>
        <w:rPr>
          <w:rFonts w:cs="Times New Roman"/>
        </w:rPr>
        <w:t xml:space="preserve">, in cui si afferma non costituisca reato la sospensione collettiva della propria attività al fine di ottenere l’aumento del prezzo di un prodotto imposto dall’autorità amministrativa, sembra apparentemente andare nel senso contrario alla prima, ma è ispirata a tutelare il diritto di sciopero dei piccoli esercenti. </w:t>
      </w:r>
    </w:p>
    <w:p w14:paraId="6DE00407" w14:textId="66EA3260" w:rsidR="00CA0328" w:rsidRDefault="00CA0328" w:rsidP="0074459A">
      <w:pPr>
        <w:spacing w:before="100" w:beforeAutospacing="1" w:line="276" w:lineRule="auto"/>
        <w:ind w:firstLine="454"/>
        <w:rPr>
          <w:rFonts w:cs="Times New Roman"/>
        </w:rPr>
      </w:pPr>
      <w:r w:rsidRPr="00CD66D0">
        <w:rPr>
          <w:rFonts w:cs="Times New Roman"/>
        </w:rPr>
        <w:t>La giurisprudenza de</w:t>
      </w:r>
      <w:r>
        <w:rPr>
          <w:rFonts w:cs="Times New Roman"/>
        </w:rPr>
        <w:t>lineò più nettamente</w:t>
      </w:r>
      <w:r w:rsidRPr="00CD66D0">
        <w:rPr>
          <w:rFonts w:cs="Times New Roman"/>
        </w:rPr>
        <w:t xml:space="preserve"> l’ambito di applicazione della fattispecie. La Corte d’Assise di Roma chiarì</w:t>
      </w:r>
      <w:r w:rsidR="004B4BFA">
        <w:rPr>
          <w:rFonts w:cs="Times New Roman"/>
        </w:rPr>
        <w:t>,</w:t>
      </w:r>
      <w:r w:rsidRPr="00CD66D0">
        <w:rPr>
          <w:rFonts w:cs="Times New Roman"/>
        </w:rPr>
        <w:t xml:space="preserve"> ad esempio</w:t>
      </w:r>
      <w:r w:rsidR="004B4BFA">
        <w:rPr>
          <w:rFonts w:cs="Times New Roman"/>
        </w:rPr>
        <w:t>,</w:t>
      </w:r>
      <w:r w:rsidRPr="00CD66D0">
        <w:rPr>
          <w:rFonts w:cs="Times New Roman"/>
        </w:rPr>
        <w:t xml:space="preserve"> come soddisfi i requisiti della divulgazione anche l’invio di lettere ad abbonati speciali di un bollettino di borsa</w:t>
      </w:r>
      <w:r>
        <w:rPr>
          <w:rFonts w:cs="Times New Roman"/>
        </w:rPr>
        <w:t>,</w:t>
      </w:r>
      <w:r w:rsidRPr="00CD66D0">
        <w:rPr>
          <w:rFonts w:cs="Times New Roman"/>
        </w:rPr>
        <w:t xml:space="preserve"> anche se il relativo contenuto non era riservato. Peraltro non costituisce diffusione di notizie false, esagerate o tendenziose le previsioni di carattere soggettivo e gli apprezzamenti sugli andamenti di mercato e sulla situazione dell’economia italiana, salvo quando tali opinioni sono date con lo scopo non dichiarato di influenzare l’andamento del mercato</w:t>
      </w:r>
      <w:r w:rsidRPr="00CD66D0">
        <w:rPr>
          <w:rStyle w:val="Rimandonotaapidipagina"/>
          <w:rFonts w:cs="Times New Roman"/>
        </w:rPr>
        <w:footnoteReference w:id="41"/>
      </w:r>
      <w:r>
        <w:rPr>
          <w:rFonts w:cs="Times New Roman"/>
        </w:rPr>
        <w:t>.</w:t>
      </w:r>
    </w:p>
    <w:p w14:paraId="25EEF313" w14:textId="77777777" w:rsidR="00CA0328" w:rsidRDefault="00CA0328" w:rsidP="0074459A">
      <w:pPr>
        <w:spacing w:before="100" w:beforeAutospacing="1" w:line="276" w:lineRule="auto"/>
        <w:ind w:firstLine="454"/>
        <w:rPr>
          <w:rFonts w:cs="Times New Roman"/>
        </w:rPr>
      </w:pPr>
      <w:r w:rsidRPr="00CD66D0">
        <w:rPr>
          <w:rFonts w:cs="Times New Roman"/>
        </w:rPr>
        <w:t>Anche con riferimento alla natura</w:t>
      </w:r>
      <w:r>
        <w:rPr>
          <w:rFonts w:cs="Times New Roman"/>
        </w:rPr>
        <w:t xml:space="preserve"> del reato si deve segnalare il contributo della</w:t>
      </w:r>
      <w:r w:rsidRPr="00CD66D0">
        <w:rPr>
          <w:rFonts w:cs="Times New Roman"/>
        </w:rPr>
        <w:t xml:space="preserve"> dott</w:t>
      </w:r>
      <w:r>
        <w:rPr>
          <w:rFonts w:cs="Times New Roman"/>
        </w:rPr>
        <w:t>rina, la quale qualificò inizialmente il reato come di pericolo</w:t>
      </w:r>
      <w:r>
        <w:rPr>
          <w:rStyle w:val="Rimandonotaapidipagina"/>
          <w:rFonts w:cs="Times New Roman"/>
        </w:rPr>
        <w:footnoteReference w:id="42"/>
      </w:r>
      <w:r>
        <w:rPr>
          <w:rFonts w:cs="Times New Roman"/>
        </w:rPr>
        <w:t>. In tale solco si collocano gli autori di molti anni successivi, i quali hanno ricondotto la fattispecie al pericolo astratto</w:t>
      </w:r>
      <w:r>
        <w:rPr>
          <w:rStyle w:val="Rimandonotaapidipagina"/>
          <w:rFonts w:cs="Times New Roman"/>
        </w:rPr>
        <w:footnoteReference w:id="43"/>
      </w:r>
      <w:r>
        <w:rPr>
          <w:rFonts w:cs="Times New Roman"/>
        </w:rPr>
        <w:t>, al mero pericolo</w:t>
      </w:r>
      <w:r>
        <w:rPr>
          <w:rStyle w:val="Rimandonotaapidipagina"/>
          <w:rFonts w:cs="Times New Roman"/>
        </w:rPr>
        <w:footnoteReference w:id="44"/>
      </w:r>
      <w:r>
        <w:rPr>
          <w:rFonts w:cs="Times New Roman"/>
        </w:rPr>
        <w:t>, ovvero al delitto a consumazione anticipata</w:t>
      </w:r>
      <w:r>
        <w:rPr>
          <w:rStyle w:val="Rimandonotaapidipagina"/>
          <w:rFonts w:cs="Times New Roman"/>
        </w:rPr>
        <w:footnoteReference w:id="45"/>
      </w:r>
      <w:r>
        <w:rPr>
          <w:rFonts w:cs="Times New Roman"/>
        </w:rPr>
        <w:t>.</w:t>
      </w:r>
    </w:p>
    <w:p w14:paraId="5AEFDC98" w14:textId="77777777" w:rsidR="00CA0328" w:rsidRDefault="00CA0328" w:rsidP="0074459A">
      <w:pPr>
        <w:spacing w:before="100" w:beforeAutospacing="1" w:line="276" w:lineRule="auto"/>
        <w:ind w:firstLine="454"/>
        <w:rPr>
          <w:rFonts w:cs="Times New Roman"/>
        </w:rPr>
      </w:pPr>
      <w:r>
        <w:rPr>
          <w:rFonts w:cs="Times New Roman"/>
        </w:rPr>
        <w:t>La questione fu affrontata anche dalla giurisprudenza. A tal proposito, si segnala una decisione del 1962 della Corte di A</w:t>
      </w:r>
      <w:r w:rsidRPr="00CD66D0">
        <w:rPr>
          <w:rFonts w:cs="Times New Roman"/>
        </w:rPr>
        <w:t>ppello di Genova</w:t>
      </w:r>
      <w:r>
        <w:rPr>
          <w:rFonts w:cs="Times New Roman"/>
        </w:rPr>
        <w:t>, che</w:t>
      </w:r>
      <w:r w:rsidRPr="00CD66D0">
        <w:rPr>
          <w:rFonts w:cs="Times New Roman"/>
        </w:rPr>
        <w:t xml:space="preserve"> richiama la configurazione della fattispecie come di pericolo, ritenendo sufficiente che l’agente compiesse</w:t>
      </w:r>
      <w:r>
        <w:rPr>
          <w:rFonts w:cs="Times New Roman"/>
        </w:rPr>
        <w:t xml:space="preserve"> atti idonei a cagionare l’evento con l’intenzione di cagionare lo stesso, e senza riguardo invece al fatto che questo sia poi concretamente avvenuto</w:t>
      </w:r>
      <w:r>
        <w:rPr>
          <w:rStyle w:val="Rimandonotaapidipagina"/>
          <w:rFonts w:cs="Times New Roman"/>
        </w:rPr>
        <w:footnoteReference w:id="46"/>
      </w:r>
      <w:r>
        <w:rPr>
          <w:rFonts w:cs="Times New Roman"/>
        </w:rPr>
        <w:t>. A tale impostazione aderirà anche la Corte di Cassazione</w:t>
      </w:r>
      <w:r>
        <w:rPr>
          <w:rStyle w:val="Rimandonotaapidipagina"/>
          <w:rFonts w:cs="Times New Roman"/>
        </w:rPr>
        <w:footnoteReference w:id="47"/>
      </w:r>
      <w:r>
        <w:rPr>
          <w:rFonts w:cs="Times New Roman"/>
        </w:rPr>
        <w:t>.</w:t>
      </w:r>
    </w:p>
    <w:p w14:paraId="3EEE9201" w14:textId="77777777" w:rsidR="00CA0328" w:rsidRDefault="00CA0328" w:rsidP="0074459A">
      <w:pPr>
        <w:spacing w:before="100" w:beforeAutospacing="1" w:line="276" w:lineRule="auto"/>
        <w:ind w:firstLine="454"/>
        <w:rPr>
          <w:rFonts w:cs="Times New Roman"/>
        </w:rPr>
      </w:pPr>
      <w:r>
        <w:rPr>
          <w:rFonts w:cs="Times New Roman"/>
        </w:rPr>
        <w:t>Sembra invece in distonia con la Suprema Corte la Pretura di Roma</w:t>
      </w:r>
      <w:r>
        <w:rPr>
          <w:rStyle w:val="Rimandonotaapidipagina"/>
          <w:rFonts w:cs="Times New Roman"/>
        </w:rPr>
        <w:footnoteReference w:id="48"/>
      </w:r>
      <w:r>
        <w:rPr>
          <w:rFonts w:cs="Times New Roman"/>
        </w:rPr>
        <w:t>, secondo la quale la mancanza di alterazione del mercato esclude per definizione la sussistenza del reato di aggiotaggio. Tale orientamento allora richiede che l’oscillazione del titolo sia dovuta non a fenomeni di carattere economico, bensì come reazione del mercato alla diffusione di notizie false, e che pertanto sia effettivamente avvenuta.</w:t>
      </w:r>
    </w:p>
    <w:p w14:paraId="549DAD6F" w14:textId="77777777" w:rsidR="00CA0328" w:rsidRDefault="00CA0328" w:rsidP="0074459A">
      <w:pPr>
        <w:spacing w:before="100" w:beforeAutospacing="1" w:line="276" w:lineRule="auto"/>
        <w:ind w:firstLine="454"/>
        <w:rPr>
          <w:rFonts w:cs="Times New Roman"/>
        </w:rPr>
      </w:pPr>
      <w:r>
        <w:rPr>
          <w:rFonts w:cs="Times New Roman"/>
        </w:rPr>
        <w:t>Da ultimo, con riferimento all’elemento soggettivo, è necessario riportare come fin dal già menzionato caso “Smerdu”</w:t>
      </w:r>
      <w:r>
        <w:rPr>
          <w:rStyle w:val="Rimandonotaapidipagina"/>
          <w:rFonts w:cs="Times New Roman"/>
        </w:rPr>
        <w:footnoteReference w:id="49"/>
      </w:r>
      <w:r>
        <w:rPr>
          <w:rFonts w:cs="Times New Roman"/>
        </w:rPr>
        <w:t xml:space="preserve"> si è teso ad assorbire il dolo specifico nella condotta dell’agente, nel senso che sussiste il dolo allorché l’agente abbia profittato delle condizioni di mercato a lui favorevoli. </w:t>
      </w:r>
    </w:p>
    <w:p w14:paraId="40136247" w14:textId="52AF13A2" w:rsidR="00CA0328" w:rsidRDefault="00CA0328" w:rsidP="0074459A">
      <w:pPr>
        <w:spacing w:before="100" w:beforeAutospacing="1" w:line="276" w:lineRule="auto"/>
        <w:ind w:firstLine="454"/>
        <w:rPr>
          <w:rFonts w:cs="Times New Roman"/>
        </w:rPr>
      </w:pPr>
      <w:r>
        <w:rPr>
          <w:rFonts w:cs="Times New Roman"/>
        </w:rPr>
        <w:t>Di opposte vedute altre pronunce, che hanno ribadito, in presenza della consapevolezza di divulgare notizie false, esagerate o tendenziose, come integri il reato la semplice volontà, chiaramente provata, del soggetto agente di cagionare un turbamento del mercato nazionale dei valori o delle merci</w:t>
      </w:r>
      <w:r>
        <w:rPr>
          <w:rStyle w:val="Rimandonotaapidipagina"/>
          <w:rFonts w:cs="Times New Roman"/>
        </w:rPr>
        <w:footnoteReference w:id="50"/>
      </w:r>
      <w:r>
        <w:rPr>
          <w:rFonts w:cs="Times New Roman"/>
        </w:rPr>
        <w:t xml:space="preserve">. Tale idea è in linea anche con la dottrina del regime fascista che emanò il codice, la quale richiede che </w:t>
      </w:r>
      <w:r w:rsidR="00787258">
        <w:rPr>
          <w:rFonts w:cs="Times New Roman"/>
          <w:i/>
        </w:rPr>
        <w:t>«</w:t>
      </w:r>
      <w:r w:rsidRPr="001953BC">
        <w:rPr>
          <w:rFonts w:cs="Times New Roman"/>
          <w:i/>
        </w:rPr>
        <w:t>la legge richiede come elemento costitutivo del delitto di pericolo il fine specifico di turbare il mercato interno dei valori e delle merci</w:t>
      </w:r>
      <w:r w:rsidR="00787258">
        <w:rPr>
          <w:rFonts w:cs="Times New Roman"/>
          <w:i/>
        </w:rPr>
        <w:t>»</w:t>
      </w:r>
      <w:r>
        <w:rPr>
          <w:rStyle w:val="Rimandonotaapidipagina"/>
          <w:rFonts w:cs="Times New Roman"/>
          <w:i/>
        </w:rPr>
        <w:footnoteReference w:id="51"/>
      </w:r>
      <w:r>
        <w:rPr>
          <w:rFonts w:cs="Times New Roman"/>
        </w:rPr>
        <w:t>.</w:t>
      </w:r>
    </w:p>
    <w:p w14:paraId="42AE074C" w14:textId="5595CF50" w:rsidR="00CA0328" w:rsidRDefault="00CA0328" w:rsidP="0074459A">
      <w:pPr>
        <w:spacing w:before="100" w:beforeAutospacing="1" w:line="276" w:lineRule="auto"/>
        <w:ind w:firstLine="454"/>
        <w:rPr>
          <w:rFonts w:cs="Times New Roman"/>
        </w:rPr>
      </w:pPr>
      <w:r>
        <w:rPr>
          <w:rFonts w:cs="Times New Roman"/>
        </w:rPr>
        <w:t xml:space="preserve">Con riferimento alla problematica se si tratti di reato a dolo specifico o generico, di particolare rilievo appare una pronuncia incidentale della Corte costituzionale, nella quale la Consulta esprime perplessità in ordine alla deduzione del giudice di merito che </w:t>
      </w:r>
      <w:r w:rsidR="00787258">
        <w:rPr>
          <w:rFonts w:cs="Times New Roman"/>
          <w:i/>
        </w:rPr>
        <w:t>«</w:t>
      </w:r>
      <w:r w:rsidRPr="009F0314">
        <w:rPr>
          <w:rFonts w:cs="Times New Roman"/>
          <w:i/>
        </w:rPr>
        <w:t>per l’aggiotaggio comune sia richiesto un dolo specifico</w:t>
      </w:r>
      <w:r w:rsidR="00787258">
        <w:rPr>
          <w:rFonts w:cs="Times New Roman"/>
          <w:i/>
        </w:rPr>
        <w:t>»</w:t>
      </w:r>
      <w:r>
        <w:rPr>
          <w:rFonts w:cs="Times New Roman"/>
        </w:rPr>
        <w:t>.</w:t>
      </w:r>
    </w:p>
    <w:p w14:paraId="295ACFB8" w14:textId="77777777" w:rsidR="00CA0328" w:rsidRDefault="00CA0328" w:rsidP="0074459A">
      <w:pPr>
        <w:spacing w:before="100" w:beforeAutospacing="1" w:line="276" w:lineRule="auto"/>
        <w:ind w:firstLine="454"/>
        <w:rPr>
          <w:rFonts w:cs="Times New Roman"/>
        </w:rPr>
      </w:pPr>
      <w:r>
        <w:rPr>
          <w:rFonts w:cs="Times New Roman"/>
        </w:rPr>
        <w:t>Infatti la Consulta, ribadendo la libertà del legislatore nel configurare il reato come a dolo generico o specifico, ha richiamato l’opinione della dottrina, secondo la quale il turbamento del mercato è in realtà conseguenza necessaria della condotta posta in essere dall’agente, e non il suo fine</w:t>
      </w:r>
      <w:r>
        <w:rPr>
          <w:rStyle w:val="Rimandonotaapidipagina"/>
          <w:rFonts w:cs="Times New Roman"/>
        </w:rPr>
        <w:footnoteReference w:id="52"/>
      </w:r>
      <w:r>
        <w:rPr>
          <w:rFonts w:cs="Times New Roman"/>
        </w:rPr>
        <w:t>.</w:t>
      </w:r>
    </w:p>
    <w:p w14:paraId="1BDF88E8" w14:textId="06E9FE86" w:rsidR="00CA0328" w:rsidRPr="008E5905" w:rsidRDefault="00CA0328" w:rsidP="0074459A">
      <w:pPr>
        <w:pStyle w:val="Titolo2"/>
        <w:numPr>
          <w:ilvl w:val="0"/>
          <w:numId w:val="22"/>
        </w:numPr>
      </w:pPr>
      <w:bookmarkStart w:id="10" w:name="_Toc271023071"/>
      <w:bookmarkStart w:id="11" w:name="_Toc272493050"/>
      <w:r w:rsidRPr="008E5905">
        <w:t xml:space="preserve">La previsione della speciale fattispecie di aggiotaggio societario </w:t>
      </w:r>
      <w:r w:rsidR="00691D33">
        <w:t xml:space="preserve">nel </w:t>
      </w:r>
      <w:r w:rsidRPr="008E5905">
        <w:t>codice civile</w:t>
      </w:r>
      <w:r w:rsidR="00691D33">
        <w:t>.</w:t>
      </w:r>
      <w:r w:rsidRPr="008E5905">
        <w:t xml:space="preserve"> </w:t>
      </w:r>
      <w:r w:rsidR="00691D33">
        <w:t>C</w:t>
      </w:r>
      <w:r w:rsidRPr="008E5905">
        <w:t>enni al reato di manovre speculative su merci</w:t>
      </w:r>
      <w:bookmarkEnd w:id="10"/>
      <w:bookmarkEnd w:id="11"/>
    </w:p>
    <w:p w14:paraId="6C406183" w14:textId="77777777" w:rsidR="00CA0328" w:rsidRPr="002F7EC3" w:rsidRDefault="00CA0328" w:rsidP="0074459A">
      <w:pPr>
        <w:spacing w:before="100" w:beforeAutospacing="1" w:line="276" w:lineRule="auto"/>
        <w:ind w:firstLine="454"/>
        <w:rPr>
          <w:rFonts w:cs="Times New Roman"/>
        </w:rPr>
      </w:pPr>
      <w:r>
        <w:rPr>
          <w:rFonts w:cs="Times New Roman"/>
        </w:rPr>
        <w:t xml:space="preserve">Fin </w:t>
      </w:r>
      <w:r w:rsidRPr="002F7EC3">
        <w:rPr>
          <w:rFonts w:cs="Times New Roman"/>
        </w:rPr>
        <w:t>qui si è parlato della fattispecie di aggiotaggio comune prevista dal codice penale. Bisogna peraltro dar conto del reato di manovre fraudolente sui titoli delle società, inizialmente previsto dall’articolo 5</w:t>
      </w:r>
      <w:r w:rsidRPr="002F7EC3">
        <w:rPr>
          <w:rStyle w:val="Rimandonotaapidipagina"/>
          <w:rFonts w:cs="Times New Roman"/>
        </w:rPr>
        <w:footnoteReference w:id="53"/>
      </w:r>
      <w:r w:rsidRPr="002F7EC3">
        <w:rPr>
          <w:rFonts w:cs="Times New Roman"/>
        </w:rPr>
        <w:t xml:space="preserve"> del r.d.l. 1459/1930, convertito in l. 4 giugno 1931, n. 660, e poi nel testo originario dell’articolo 2628 del codice civile</w:t>
      </w:r>
      <w:r w:rsidRPr="002F7EC3">
        <w:rPr>
          <w:rStyle w:val="Rimandonotaapidipagina"/>
          <w:rFonts w:cs="Times New Roman"/>
        </w:rPr>
        <w:footnoteReference w:id="54"/>
      </w:r>
      <w:r w:rsidRPr="002F7EC3">
        <w:rPr>
          <w:rStyle w:val="Rimandonotaapidipagina"/>
          <w:rFonts w:cs="Times New Roman"/>
        </w:rPr>
        <w:footnoteReference w:id="55"/>
      </w:r>
      <w:r w:rsidRPr="002F7EC3">
        <w:rPr>
          <w:rFonts w:cs="Times New Roman"/>
        </w:rPr>
        <w:t>.</w:t>
      </w:r>
    </w:p>
    <w:p w14:paraId="7CE9D460" w14:textId="11061191" w:rsidR="00CA0328" w:rsidRPr="00985C5D" w:rsidRDefault="00CA0328" w:rsidP="0074459A">
      <w:pPr>
        <w:spacing w:before="100" w:beforeAutospacing="1" w:line="276" w:lineRule="auto"/>
        <w:ind w:firstLine="454"/>
        <w:rPr>
          <w:rFonts w:cs="Times New Roman"/>
        </w:rPr>
      </w:pPr>
      <w:r w:rsidRPr="002F7EC3">
        <w:rPr>
          <w:rFonts w:cs="Times New Roman"/>
        </w:rPr>
        <w:t>Tali norme sanzionavano</w:t>
      </w:r>
      <w:r w:rsidRPr="00985C5D">
        <w:rPr>
          <w:rFonts w:cs="Times New Roman"/>
        </w:rPr>
        <w:t xml:space="preserve"> la medesima condotta già vietata da</w:t>
      </w:r>
      <w:r w:rsidR="004B4BFA">
        <w:rPr>
          <w:rFonts w:cs="Times New Roman"/>
        </w:rPr>
        <w:t>l codice penale, prevedendo un’</w:t>
      </w:r>
      <w:r w:rsidRPr="00985C5D">
        <w:rPr>
          <w:rFonts w:cs="Times New Roman"/>
        </w:rPr>
        <w:t>ulteriore fattispecie di aggiotaggio, questa volta di tipo societario, che assolveva la funzione di tutela rispetto ai fatti compiuti dagli esponenti della società</w:t>
      </w:r>
      <w:r w:rsidRPr="00985C5D">
        <w:rPr>
          <w:rStyle w:val="Rimandonotaapidipagina"/>
          <w:rFonts w:cs="Times New Roman"/>
        </w:rPr>
        <w:footnoteReference w:id="56"/>
      </w:r>
      <w:r w:rsidRPr="00985C5D">
        <w:rPr>
          <w:rFonts w:cs="Times New Roman"/>
        </w:rPr>
        <w:t>. Pertanto, se la condotta è molto simile a quelle fin qui viste, sono da evidenziare alcune significative differenze, che costituiscono la chiave di lettura della norma in esame.</w:t>
      </w:r>
    </w:p>
    <w:p w14:paraId="31855565" w14:textId="77777777" w:rsidR="00CA0328" w:rsidRDefault="00CA0328" w:rsidP="0074459A">
      <w:pPr>
        <w:spacing w:before="100" w:beforeAutospacing="1" w:line="276" w:lineRule="auto"/>
        <w:ind w:firstLine="454"/>
        <w:rPr>
          <w:rFonts w:cs="Times New Roman"/>
        </w:rPr>
      </w:pPr>
      <w:r w:rsidRPr="00985C5D">
        <w:rPr>
          <w:rFonts w:cs="Times New Roman"/>
        </w:rPr>
        <w:t xml:space="preserve">In particolare si deve notare come </w:t>
      </w:r>
      <w:r>
        <w:rPr>
          <w:rFonts w:cs="Times New Roman"/>
        </w:rPr>
        <w:t>i soggetti</w:t>
      </w:r>
      <w:r w:rsidRPr="00985C5D">
        <w:rPr>
          <w:rFonts w:cs="Times New Roman"/>
        </w:rPr>
        <w:t xml:space="preserve"> agenti necessitino delle qualifiche di amministratori, direttori generali, sindaci e liquidatori per poter commettere il delitto, talché questo si presenta come un reato proprio. Infatti la posizione che i soggetti attivi rivestono all’interno della società è idonea a suscitare la credulità del pubblico, mentre la possibilità di incidere sulla vita della società e quindi sull’andament</w:t>
      </w:r>
      <w:r>
        <w:rPr>
          <w:rFonts w:cs="Times New Roman"/>
        </w:rPr>
        <w:t>o dei titoli ad essa collegati pone gli stessi in una posizione già favorevole a commettere l’illecito. Questo peraltro può ben essere commesso a mezzo e quindi in concorso con la commissione di altri reati, quali a titolo esemplificativo la pubblicazione di bilanci falsi o la distribuzione di utili fittizi</w:t>
      </w:r>
      <w:r>
        <w:rPr>
          <w:rStyle w:val="Rimandonotaapidipagina"/>
          <w:rFonts w:cs="Times New Roman"/>
        </w:rPr>
        <w:footnoteReference w:id="57"/>
      </w:r>
      <w:r>
        <w:rPr>
          <w:rFonts w:cs="Times New Roman"/>
        </w:rPr>
        <w:t>.</w:t>
      </w:r>
    </w:p>
    <w:p w14:paraId="6329DA88" w14:textId="654B3A4B" w:rsidR="00CA0328" w:rsidRDefault="00CA0328" w:rsidP="0074459A">
      <w:pPr>
        <w:spacing w:before="100" w:beforeAutospacing="1" w:line="276" w:lineRule="auto"/>
        <w:ind w:firstLine="454"/>
        <w:rPr>
          <w:rFonts w:cs="Times New Roman"/>
        </w:rPr>
      </w:pPr>
      <w:r>
        <w:rPr>
          <w:rFonts w:cs="Times New Roman"/>
        </w:rPr>
        <w:t xml:space="preserve">Quanto alla condotta, questa appare del tutto simile a quella prevista dalla fattispecie di aggiotaggio comune prevista dall’articolo 501 c.p.. Infatti, come si accennava già in precedenza, la distinzione tra gli </w:t>
      </w:r>
      <w:r w:rsidR="00787258">
        <w:rPr>
          <w:rFonts w:cs="Times New Roman"/>
          <w:i/>
        </w:rPr>
        <w:t>«</w:t>
      </w:r>
      <w:r w:rsidRPr="0031137A">
        <w:rPr>
          <w:rFonts w:cs="Times New Roman"/>
          <w:i/>
        </w:rPr>
        <w:t>altri artifici</w:t>
      </w:r>
      <w:r w:rsidR="00787258">
        <w:rPr>
          <w:rFonts w:cs="Times New Roman"/>
          <w:i/>
        </w:rPr>
        <w:t>»</w:t>
      </w:r>
      <w:r>
        <w:rPr>
          <w:rFonts w:cs="Times New Roman"/>
        </w:rPr>
        <w:t xml:space="preserve"> e gli </w:t>
      </w:r>
      <w:r w:rsidR="00787258">
        <w:rPr>
          <w:rFonts w:cs="Times New Roman"/>
          <w:i/>
        </w:rPr>
        <w:t>«</w:t>
      </w:r>
      <w:r w:rsidRPr="0031137A">
        <w:rPr>
          <w:rFonts w:cs="Times New Roman"/>
          <w:i/>
        </w:rPr>
        <w:t>altri mezzi fraudolenti</w:t>
      </w:r>
      <w:r w:rsidR="00787258">
        <w:rPr>
          <w:rFonts w:cs="Times New Roman"/>
          <w:i/>
        </w:rPr>
        <w:t>»</w:t>
      </w:r>
      <w:r>
        <w:rPr>
          <w:rFonts w:cs="Times New Roman"/>
        </w:rPr>
        <w:t>, si è andata nel tempo perdendo. Vennero così considerati fraudolenti anche quei mezzi di per sé astrattamente leciti, poiché l’illiceità della condotta doveva risultare da una analisi complessiva della manovra di mercato. Allo stesso modo devono interpretarsi la divulgazione di notizie false, esagerate o tendenziose come ulteriori specificazioni delle notizie false. Così similmente è prevista anche tale fattispecie quale reato di pericolo, come già previsto dall’aggiotaggio comune</w:t>
      </w:r>
      <w:r>
        <w:rPr>
          <w:rStyle w:val="Rimandonotaapidipagina"/>
          <w:rFonts w:cs="Times New Roman"/>
        </w:rPr>
        <w:footnoteReference w:id="58"/>
      </w:r>
      <w:r>
        <w:rPr>
          <w:rFonts w:cs="Times New Roman"/>
        </w:rPr>
        <w:t>.</w:t>
      </w:r>
    </w:p>
    <w:p w14:paraId="57B18140" w14:textId="77777777" w:rsidR="00CA0328" w:rsidRDefault="00CA0328" w:rsidP="0074459A">
      <w:pPr>
        <w:spacing w:before="100" w:beforeAutospacing="1" w:line="276" w:lineRule="auto"/>
        <w:ind w:firstLine="454"/>
        <w:rPr>
          <w:rFonts w:cs="Times New Roman"/>
        </w:rPr>
      </w:pPr>
      <w:r>
        <w:rPr>
          <w:rFonts w:cs="Times New Roman"/>
        </w:rPr>
        <w:t>Una differenza rilevante invece è rappresentata dall’elemento soggettivo. Se, infatti, nell’aggiotaggio comune, così come in quello societario previsto dalla l. 660/1931, è richiesto il dolo specifico, nella nuova formulazione prevista dal codice civile sarà sufficiente il dolo generico. Rimane peraltro ferma la necessità che il soggetto attivo abbia la consapevolezza di porre in essere un inganno, mentre l’effetto del rialzo o ribasso del titolo sarà soddisfatto dal dolo eventuale.</w:t>
      </w:r>
    </w:p>
    <w:p w14:paraId="4FB85907" w14:textId="77777777" w:rsidR="00CA0328" w:rsidRDefault="00CA0328" w:rsidP="0074459A">
      <w:pPr>
        <w:spacing w:before="100" w:beforeAutospacing="1" w:line="276" w:lineRule="auto"/>
        <w:ind w:firstLine="454"/>
        <w:rPr>
          <w:rFonts w:cs="Times New Roman"/>
        </w:rPr>
      </w:pPr>
      <w:r>
        <w:rPr>
          <w:rFonts w:cs="Times New Roman"/>
        </w:rPr>
        <w:t>I cambiamenti apportati suggerirono un accostamento all’aggiotaggio di cui all’articolo 501 c.p., che ha ispirato anche la condotta</w:t>
      </w:r>
      <w:r>
        <w:rPr>
          <w:rStyle w:val="Rimandonotaapidipagina"/>
          <w:rFonts w:cs="Times New Roman"/>
        </w:rPr>
        <w:footnoteReference w:id="59"/>
      </w:r>
      <w:r>
        <w:rPr>
          <w:rFonts w:cs="Times New Roman"/>
        </w:rPr>
        <w:t>, più che alla frode commerciale</w:t>
      </w:r>
      <w:r>
        <w:rPr>
          <w:rStyle w:val="Rimandonotaapidipagina"/>
          <w:rFonts w:cs="Times New Roman"/>
        </w:rPr>
        <w:footnoteReference w:id="60"/>
      </w:r>
      <w:r>
        <w:rPr>
          <w:rFonts w:cs="Times New Roman"/>
        </w:rPr>
        <w:t>, cui era stato invece avvicinato in vigenza della l. 660/1931. Peraltro, secondo autorevole dottrina, la diversità dei beni giuridici tutelati (da un lato la fiducia nella corretta formazione dei prezzi sul mercato, dall’altro la fiducia nell’opera degli esponenti societari ad esclusivo vantaggio della stessa) permetteva di ipotizzare addirittura un concorso formale tra reati, quando da un’unica azione fosse derivato anche l’evento di turbamento all’economia nazionale ivi previsto</w:t>
      </w:r>
      <w:r>
        <w:rPr>
          <w:rStyle w:val="Rimandonotaapidipagina"/>
          <w:rFonts w:cs="Times New Roman"/>
        </w:rPr>
        <w:footnoteReference w:id="61"/>
      </w:r>
      <w:r>
        <w:rPr>
          <w:rFonts w:cs="Times New Roman"/>
        </w:rPr>
        <w:t>.</w:t>
      </w:r>
    </w:p>
    <w:p w14:paraId="6E3C4725" w14:textId="77777777" w:rsidR="00CA0328" w:rsidRDefault="00CA0328" w:rsidP="0074459A">
      <w:pPr>
        <w:spacing w:before="100" w:beforeAutospacing="1" w:line="276" w:lineRule="auto"/>
        <w:ind w:firstLine="454"/>
        <w:rPr>
          <w:rFonts w:cs="Times New Roman"/>
        </w:rPr>
      </w:pPr>
      <w:r>
        <w:rPr>
          <w:rFonts w:cs="Times New Roman"/>
        </w:rPr>
        <w:t>La già citata decisione del 1965 della Corte d’Appello di Genova ritenne però che vi fosse concorso solo apparente di norme tra aggiotaggio comune e societario, con assorbimento del primo nel secondo, e conformemente si è espressa la dottrina maggioritaria</w:t>
      </w:r>
      <w:r>
        <w:rPr>
          <w:rStyle w:val="Rimandonotaapidipagina"/>
          <w:rFonts w:cs="Times New Roman"/>
        </w:rPr>
        <w:footnoteReference w:id="62"/>
      </w:r>
      <w:r>
        <w:rPr>
          <w:rFonts w:cs="Times New Roman"/>
        </w:rPr>
        <w:t>.</w:t>
      </w:r>
    </w:p>
    <w:p w14:paraId="344377BB" w14:textId="61C368A2" w:rsidR="00CA0328" w:rsidRDefault="00CA0328" w:rsidP="0074459A">
      <w:pPr>
        <w:spacing w:before="100" w:beforeAutospacing="1" w:line="276" w:lineRule="auto"/>
        <w:ind w:firstLine="454"/>
        <w:rPr>
          <w:rFonts w:cs="Times New Roman"/>
        </w:rPr>
      </w:pPr>
      <w:r>
        <w:rPr>
          <w:rFonts w:cs="Times New Roman"/>
        </w:rPr>
        <w:t xml:space="preserve">Brevemente, non fosse altro per ragioni di completezza, si fa cenno anche all’introduzione del reato di </w:t>
      </w:r>
      <w:r w:rsidR="00787258">
        <w:rPr>
          <w:rFonts w:cs="Times New Roman"/>
          <w:i/>
        </w:rPr>
        <w:t>«</w:t>
      </w:r>
      <w:r w:rsidRPr="0031137A">
        <w:rPr>
          <w:rFonts w:cs="Times New Roman"/>
          <w:i/>
        </w:rPr>
        <w:t>Manovre speculative su merci</w:t>
      </w:r>
      <w:r w:rsidR="00787258">
        <w:rPr>
          <w:rFonts w:cs="Times New Roman"/>
          <w:i/>
        </w:rPr>
        <w:t>»</w:t>
      </w:r>
      <w:r>
        <w:rPr>
          <w:rFonts w:cs="Times New Roman"/>
        </w:rPr>
        <w:t xml:space="preserve"> all’articolo 501 bis nel codice penale ad opera del d.l.</w:t>
      </w:r>
      <w:r w:rsidRPr="009F5292">
        <w:rPr>
          <w:rFonts w:cs="Times New Roman"/>
        </w:rPr>
        <w:t xml:space="preserve"> 15 ottobre 1976, n. 704, poi convertito nella l. 27 novembre 1976, n. 787</w:t>
      </w:r>
      <w:r>
        <w:rPr>
          <w:rStyle w:val="Rimandonotaapidipagina"/>
          <w:rFonts w:cs="Times New Roman"/>
        </w:rPr>
        <w:footnoteReference w:id="63"/>
      </w:r>
      <w:r>
        <w:rPr>
          <w:rFonts w:cs="Times New Roman"/>
        </w:rPr>
        <w:t>.</w:t>
      </w:r>
    </w:p>
    <w:p w14:paraId="1B550439" w14:textId="77777777" w:rsidR="00CA0328" w:rsidRDefault="00CA0328" w:rsidP="0074459A">
      <w:pPr>
        <w:spacing w:before="100" w:beforeAutospacing="1" w:line="276" w:lineRule="auto"/>
        <w:ind w:firstLine="454"/>
        <w:rPr>
          <w:rFonts w:cs="Times New Roman"/>
        </w:rPr>
      </w:pPr>
      <w:r>
        <w:rPr>
          <w:rFonts w:cs="Times New Roman"/>
        </w:rPr>
        <w:t>Tale norma intende tutelare i consumatori da possibili speculazioni su materie prime, che condizionano l’intera catena produttiva delle lavorazioni, i generi alimentari di largo consumo e i prodotti di prima necessità, ossia i consumi dei ceti popolari. Il campo d’azione dunque si allarga rispetto all’aggiotaggio ed anche in questa occasione si deve considerare il contesto economico di stagnazione e conflittualità sociale di quegli anni, a cui il legislatore rispose con una norma a tutela della concorrenza.</w:t>
      </w:r>
    </w:p>
    <w:p w14:paraId="278FB688" w14:textId="5BF8D2E6" w:rsidR="00CA0328" w:rsidRDefault="00CA0328" w:rsidP="0074459A">
      <w:pPr>
        <w:spacing w:before="100" w:beforeAutospacing="1" w:line="276" w:lineRule="auto"/>
        <w:ind w:firstLine="454"/>
        <w:rPr>
          <w:rFonts w:cs="Times New Roman"/>
        </w:rPr>
      </w:pPr>
      <w:r>
        <w:rPr>
          <w:rFonts w:cs="Times New Roman"/>
        </w:rPr>
        <w:t xml:space="preserve">Una sua attenta lettura porta ad affermare che si tratti di un reato proprio: ciò si evince dal fatto che si fa riferimento </w:t>
      </w:r>
      <w:r w:rsidR="004B4BFA">
        <w:rPr>
          <w:rFonts w:cs="Times New Roman"/>
        </w:rPr>
        <w:t>all’</w:t>
      </w:r>
      <w:r>
        <w:rPr>
          <w:rFonts w:cs="Times New Roman"/>
        </w:rPr>
        <w:t xml:space="preserve">esercizio, da parte dell’agente, di una qualche </w:t>
      </w:r>
      <w:r w:rsidR="00787258">
        <w:rPr>
          <w:rFonts w:cs="Times New Roman"/>
          <w:i/>
        </w:rPr>
        <w:t>«</w:t>
      </w:r>
      <w:r w:rsidRPr="0031137A">
        <w:rPr>
          <w:rFonts w:cs="Times New Roman"/>
          <w:i/>
        </w:rPr>
        <w:t>attività produttiva o commerciale</w:t>
      </w:r>
      <w:r w:rsidR="00787258">
        <w:rPr>
          <w:rFonts w:cs="Times New Roman"/>
          <w:i/>
        </w:rPr>
        <w:t>»</w:t>
      </w:r>
      <w:r>
        <w:rPr>
          <w:rFonts w:cs="Times New Roman"/>
        </w:rPr>
        <w:t>, la quale, sebbene non presupponga una qualificazione particolare dell’autore, induce ad escludere la sua applicazione per le persone non esercenti le predette attività.</w:t>
      </w:r>
    </w:p>
    <w:p w14:paraId="4F5A3F3F" w14:textId="77777777" w:rsidR="00CA0328" w:rsidRDefault="00CA0328" w:rsidP="0074459A">
      <w:pPr>
        <w:spacing w:before="100" w:beforeAutospacing="1" w:line="276" w:lineRule="auto"/>
        <w:ind w:firstLine="454"/>
        <w:rPr>
          <w:rFonts w:cs="Times New Roman"/>
        </w:rPr>
      </w:pPr>
      <w:r>
        <w:rPr>
          <w:rFonts w:cs="Times New Roman"/>
        </w:rPr>
        <w:t>Il legislatore, dopo una generica incriminazione delle manovre speculative, precisa che rientrano nelle stesse le condotte di occultamento, accaparramento e incetta; dunque è evidente che tali operazioni non coincidono completamente con le condotte artificiose che tradizionalmente caratterizzano l’aggiotaggio, bensì si avvicinano maggiormente a situazioni di monopolio</w:t>
      </w:r>
      <w:r>
        <w:rPr>
          <w:rStyle w:val="Rimandonotaapidipagina"/>
          <w:rFonts w:cs="Times New Roman"/>
        </w:rPr>
        <w:footnoteReference w:id="64"/>
      </w:r>
      <w:r>
        <w:rPr>
          <w:rFonts w:cs="Times New Roman"/>
        </w:rPr>
        <w:t xml:space="preserve">. </w:t>
      </w:r>
    </w:p>
    <w:p w14:paraId="5439246F" w14:textId="77777777" w:rsidR="00CA0328" w:rsidRPr="005B1134" w:rsidRDefault="00CA0328" w:rsidP="0074459A">
      <w:pPr>
        <w:spacing w:before="100" w:beforeAutospacing="1" w:line="276" w:lineRule="auto"/>
        <w:ind w:firstLine="454"/>
        <w:rPr>
          <w:rFonts w:cs="Times New Roman"/>
        </w:rPr>
      </w:pPr>
      <w:r>
        <w:t>Al secondo comma è inoltre previsto il caso di chi sottragga rilevanti quantità di tali beni all’utilizzazione o al consumo in presenza di una situazione di mercato già compromessa.</w:t>
      </w:r>
    </w:p>
    <w:p w14:paraId="2F379A48" w14:textId="0448C1F0" w:rsidR="00CA0328" w:rsidRPr="008E5905" w:rsidRDefault="00CA0328" w:rsidP="0074459A">
      <w:pPr>
        <w:pStyle w:val="Titolo2"/>
        <w:numPr>
          <w:ilvl w:val="0"/>
          <w:numId w:val="22"/>
        </w:numPr>
      </w:pPr>
      <w:bookmarkStart w:id="12" w:name="_Toc271023074"/>
      <w:bookmarkStart w:id="13" w:name="_Toc272493051"/>
      <w:r w:rsidRPr="008E5905">
        <w:t>L’introduzione della manipolazione del mercato finanziario ad opera dell’articolo 5 della legge n. 157/1991</w:t>
      </w:r>
      <w:bookmarkEnd w:id="12"/>
      <w:bookmarkEnd w:id="13"/>
    </w:p>
    <w:p w14:paraId="03267B7A" w14:textId="77777777" w:rsidR="00CA0328" w:rsidRDefault="00CA0328" w:rsidP="0074459A">
      <w:pPr>
        <w:spacing w:before="100" w:beforeAutospacing="1" w:line="276" w:lineRule="auto"/>
        <w:ind w:firstLine="454"/>
        <w:rPr>
          <w:rFonts w:cs="Times New Roman"/>
          <w:color w:val="000000"/>
        </w:rPr>
      </w:pPr>
      <w:r>
        <w:rPr>
          <w:rFonts w:cs="Times New Roman"/>
        </w:rPr>
        <w:t xml:space="preserve">Un nuovo intervento legislativo in tema di aggiotaggio fu occasionato dall’attuazione della </w:t>
      </w:r>
      <w:r>
        <w:rPr>
          <w:rFonts w:cs="Times New Roman"/>
          <w:color w:val="000000"/>
        </w:rPr>
        <w:t>Direttiva</w:t>
      </w:r>
      <w:r w:rsidRPr="000501BF">
        <w:rPr>
          <w:rFonts w:cs="Times New Roman"/>
          <w:color w:val="000000"/>
        </w:rPr>
        <w:t xml:space="preserve"> CEE/89/592</w:t>
      </w:r>
      <w:r>
        <w:rPr>
          <w:rFonts w:cs="Times New Roman"/>
          <w:color w:val="000000"/>
        </w:rPr>
        <w:t>, che intendeva reprimere a livello comunitario l’abuso di informazioni privilegiate.</w:t>
      </w:r>
    </w:p>
    <w:p w14:paraId="765B9716" w14:textId="77777777" w:rsidR="00CA0328" w:rsidRDefault="00CA0328" w:rsidP="0074459A">
      <w:pPr>
        <w:spacing w:before="100" w:beforeAutospacing="1" w:line="276" w:lineRule="auto"/>
        <w:ind w:firstLine="454"/>
        <w:rPr>
          <w:rFonts w:cs="Times New Roman"/>
          <w:color w:val="000000"/>
        </w:rPr>
      </w:pPr>
      <w:r>
        <w:rPr>
          <w:rFonts w:cs="Times New Roman"/>
          <w:color w:val="000000"/>
        </w:rPr>
        <w:t>Sebbene la Direttiva non riguardasse la disciplina della manipolazione di mercato, l</w:t>
      </w:r>
      <w:r>
        <w:rPr>
          <w:rFonts w:cs="Times New Roman"/>
        </w:rPr>
        <w:t>’evolversi tecnologico dei mercati e la progressiva integrazione del sistema economico italiano nel contesto comunitario</w:t>
      </w:r>
      <w:r>
        <w:rPr>
          <w:rFonts w:cs="Times New Roman"/>
          <w:color w:val="000000"/>
        </w:rPr>
        <w:t>, oltre che l’affinità sul piano della prevenzione e della repressione tra l’abuso di informazioni privilegiate e la manipolazione di mercato, ricomprese nella più grande famiglia dei reati di abuso di mercato, ha indotto il legislatore italiano a prevedere la</w:t>
      </w:r>
      <w:r w:rsidRPr="00A65447">
        <w:rPr>
          <w:rFonts w:cs="Times New Roman"/>
          <w:color w:val="000000"/>
        </w:rPr>
        <w:t xml:space="preserve"> </w:t>
      </w:r>
      <w:r>
        <w:rPr>
          <w:rFonts w:cs="Times New Roman"/>
          <w:color w:val="000000"/>
        </w:rPr>
        <w:t xml:space="preserve">fattispecie di aggiotaggio finanziario all’articolo 5 della </w:t>
      </w:r>
      <w:r w:rsidRPr="000501BF">
        <w:rPr>
          <w:rFonts w:cs="Times New Roman"/>
          <w:color w:val="000000"/>
        </w:rPr>
        <w:t xml:space="preserve">legge </w:t>
      </w:r>
      <w:r>
        <w:rPr>
          <w:rFonts w:cs="Times New Roman"/>
          <w:color w:val="000000"/>
        </w:rPr>
        <w:t xml:space="preserve">17 maggio 1991, </w:t>
      </w:r>
      <w:r w:rsidRPr="000501BF">
        <w:rPr>
          <w:rFonts w:cs="Times New Roman"/>
          <w:color w:val="000000"/>
        </w:rPr>
        <w:t>n. 157</w:t>
      </w:r>
      <w:r>
        <w:rPr>
          <w:rFonts w:cs="Times New Roman"/>
          <w:color w:val="000000"/>
        </w:rPr>
        <w:t>9.</w:t>
      </w:r>
    </w:p>
    <w:p w14:paraId="10C390CF" w14:textId="0838982B" w:rsidR="00CA0328" w:rsidRDefault="00CA0328" w:rsidP="0074459A">
      <w:pPr>
        <w:spacing w:before="100" w:beforeAutospacing="1" w:line="276" w:lineRule="auto"/>
        <w:ind w:firstLine="454"/>
        <w:rPr>
          <w:rFonts w:cs="Times New Roman"/>
          <w:color w:val="000000"/>
        </w:rPr>
      </w:pPr>
      <w:r>
        <w:rPr>
          <w:rFonts w:cs="Times New Roman"/>
          <w:color w:val="000000"/>
        </w:rPr>
        <w:t>Dunque l’articolo 5</w:t>
      </w:r>
      <w:r>
        <w:rPr>
          <w:rStyle w:val="Rimandonotaapidipagina"/>
          <w:rFonts w:cs="Times New Roman"/>
          <w:color w:val="000000"/>
        </w:rPr>
        <w:footnoteReference w:id="65"/>
      </w:r>
      <w:r>
        <w:rPr>
          <w:rFonts w:cs="Times New Roman"/>
          <w:color w:val="000000"/>
        </w:rPr>
        <w:t xml:space="preserve"> enunciava un dettagliato elenco scalare di fattispecie a tutela dei </w:t>
      </w:r>
      <w:r w:rsidR="00787258">
        <w:rPr>
          <w:rFonts w:cs="Times New Roman"/>
          <w:i/>
          <w:color w:val="000000"/>
        </w:rPr>
        <w:t>«</w:t>
      </w:r>
      <w:r w:rsidRPr="00B974FF">
        <w:rPr>
          <w:rFonts w:cs="Times New Roman"/>
          <w:i/>
          <w:color w:val="000000"/>
        </w:rPr>
        <w:t>valori mobiliari</w:t>
      </w:r>
      <w:r w:rsidR="00787258">
        <w:rPr>
          <w:rFonts w:cs="Times New Roman"/>
          <w:i/>
          <w:color w:val="000000"/>
        </w:rPr>
        <w:t>»</w:t>
      </w:r>
      <w:r>
        <w:rPr>
          <w:rFonts w:cs="Times New Roman"/>
          <w:color w:val="000000"/>
        </w:rPr>
        <w:t xml:space="preserve">, a cui corrispondeva un altrettanto puntuale quadro sanzionatorio. Il primo comma puniva chi divulgava notizie false, esagerate o tendenziose, ovvero chi </w:t>
      </w:r>
      <w:r w:rsidR="00787258">
        <w:rPr>
          <w:rFonts w:cs="Times New Roman"/>
          <w:i/>
          <w:color w:val="000000"/>
        </w:rPr>
        <w:t>«</w:t>
      </w:r>
      <w:r w:rsidRPr="00B974FF">
        <w:rPr>
          <w:rFonts w:cs="Times New Roman"/>
          <w:i/>
          <w:color w:val="000000"/>
        </w:rPr>
        <w:t>pone[va] in essere operazioni simulate o altri artifizi, idonei ad influenzare sensibilmente il prezzo di valori mobiliari</w:t>
      </w:r>
      <w:r w:rsidR="00787258">
        <w:rPr>
          <w:rFonts w:cs="Times New Roman"/>
          <w:i/>
          <w:color w:val="000000"/>
        </w:rPr>
        <w:t>»</w:t>
      </w:r>
      <w:r>
        <w:rPr>
          <w:rFonts w:cs="Times New Roman"/>
          <w:color w:val="000000"/>
        </w:rPr>
        <w:t xml:space="preserve">. </w:t>
      </w:r>
    </w:p>
    <w:p w14:paraId="3997048E" w14:textId="77777777" w:rsidR="00CA0328" w:rsidRDefault="00CA0328" w:rsidP="0074459A">
      <w:pPr>
        <w:spacing w:before="100" w:beforeAutospacing="1" w:line="276" w:lineRule="auto"/>
        <w:ind w:firstLine="454"/>
        <w:rPr>
          <w:rFonts w:cs="Times New Roman"/>
          <w:color w:val="000000"/>
        </w:rPr>
      </w:pPr>
      <w:r>
        <w:rPr>
          <w:rFonts w:cs="Times New Roman"/>
          <w:color w:val="000000"/>
        </w:rPr>
        <w:t>La novità principale di tale formulazione è rappresentata dall’introduzione, come specificazione della più ampia nozione di artifici, dell’espressa ipotesi delle operazioni simulate, le quali diano l’apparenza di un mercato attivo. È da rilevare, infatti, come un interesse o una sfiducia diffusa per un determinato titolo, accompagnati da operazioni simulate congruenti che supportino tali convincimenti, possono dar luogo ad una tendenza della generalità dei risparmiatori ad acquistare o vendere il titolo in questione e determinare così un suo rialzo od un suo ribasso.</w:t>
      </w:r>
    </w:p>
    <w:p w14:paraId="71968DA1" w14:textId="77777777" w:rsidR="00CA0328" w:rsidRDefault="00CA0328" w:rsidP="0074459A">
      <w:pPr>
        <w:spacing w:before="100" w:beforeAutospacing="1" w:line="276" w:lineRule="auto"/>
        <w:ind w:firstLine="454"/>
        <w:rPr>
          <w:rFonts w:cs="Times New Roman"/>
          <w:color w:val="000000"/>
        </w:rPr>
      </w:pPr>
      <w:r>
        <w:rPr>
          <w:rFonts w:cs="Times New Roman"/>
          <w:color w:val="000000"/>
        </w:rPr>
        <w:t>Se la simulazione è incriminata a prescindere dai suoi effetti, bisognerà anche tener conto della necessità che la sua notizia venga almeno resa pubblica, affinché possa influire sull’andamento delle quotazioni. In tal modo si escludono dall’applicazione della normativa le operazioni che, anche se simulate, non abbiano fornito neanche indirettamente alcun dato sull’andamento del mercato e quindi non abbiano in alcun modo influenzato l’andamento delle quotazioni</w:t>
      </w:r>
      <w:r>
        <w:rPr>
          <w:rStyle w:val="Rimandonotaapidipagina"/>
          <w:rFonts w:cs="Times New Roman"/>
          <w:color w:val="000000"/>
        </w:rPr>
        <w:footnoteReference w:id="66"/>
      </w:r>
      <w:r>
        <w:rPr>
          <w:rFonts w:cs="Times New Roman"/>
          <w:color w:val="000000"/>
        </w:rPr>
        <w:t>.</w:t>
      </w:r>
    </w:p>
    <w:p w14:paraId="37C455B8" w14:textId="77777777" w:rsidR="00CA0328" w:rsidRDefault="00CA0328" w:rsidP="0074459A">
      <w:pPr>
        <w:spacing w:before="100" w:beforeAutospacing="1" w:line="276" w:lineRule="auto"/>
        <w:ind w:firstLine="454"/>
        <w:rPr>
          <w:rFonts w:cs="Times New Roman"/>
          <w:color w:val="000000"/>
        </w:rPr>
      </w:pPr>
      <w:r>
        <w:rPr>
          <w:rFonts w:cs="Times New Roman"/>
          <w:color w:val="000000"/>
        </w:rPr>
        <w:t>Si deve peraltro calare la condotta nel contesto della borsa. Questa è infatti suscettibile di essere influenzata anche da mere voci, se artatamente disseminate, e le analisi di mercato, piuttosto che ostacolare la strada al manipolatore, possono rientrare addirittura nei suoi calcoli, accentuando gli effetti del suo operato. Il legislatore però limitava espressamente l’applicazione della norma alle notizie, talché risultavano escluse dall’applicazione le voci e le valutazioni soggettive</w:t>
      </w:r>
      <w:r>
        <w:rPr>
          <w:rStyle w:val="Rimandonotaapidipagina"/>
          <w:rFonts w:cs="Times New Roman"/>
          <w:color w:val="000000"/>
        </w:rPr>
        <w:footnoteReference w:id="67"/>
      </w:r>
      <w:r>
        <w:rPr>
          <w:rFonts w:cs="Times New Roman"/>
          <w:color w:val="000000"/>
        </w:rPr>
        <w:t>.</w:t>
      </w:r>
    </w:p>
    <w:p w14:paraId="021953FB" w14:textId="6E60CBC9" w:rsidR="00CA0328" w:rsidRDefault="00CA0328" w:rsidP="0074459A">
      <w:pPr>
        <w:spacing w:before="100" w:beforeAutospacing="1" w:line="276" w:lineRule="auto"/>
        <w:ind w:firstLine="454"/>
        <w:rPr>
          <w:rFonts w:cs="Times New Roman"/>
          <w:color w:val="000000"/>
        </w:rPr>
      </w:pPr>
      <w:r>
        <w:rPr>
          <w:rFonts w:cs="Times New Roman"/>
          <w:color w:val="000000"/>
        </w:rPr>
        <w:t xml:space="preserve">Quanto all’avverbio </w:t>
      </w:r>
      <w:r w:rsidR="00787258">
        <w:rPr>
          <w:rFonts w:cs="Times New Roman"/>
          <w:i/>
          <w:color w:val="000000"/>
        </w:rPr>
        <w:t>«</w:t>
      </w:r>
      <w:r w:rsidRPr="00242E5A">
        <w:rPr>
          <w:rFonts w:cs="Times New Roman"/>
          <w:i/>
          <w:color w:val="000000"/>
        </w:rPr>
        <w:t>sensibilmente</w:t>
      </w:r>
      <w:r w:rsidR="00787258">
        <w:rPr>
          <w:rFonts w:cs="Times New Roman"/>
          <w:i/>
          <w:color w:val="000000"/>
        </w:rPr>
        <w:t>»</w:t>
      </w:r>
      <w:r>
        <w:rPr>
          <w:rFonts w:cs="Times New Roman"/>
          <w:color w:val="000000"/>
        </w:rPr>
        <w:t>, il legislatore ha voluto precisare un concetto già invero implicito nella nozione di manipolazione di mercato</w:t>
      </w:r>
      <w:r>
        <w:rPr>
          <w:rStyle w:val="Rimandonotaapidipagina"/>
          <w:rFonts w:cs="Times New Roman"/>
          <w:color w:val="000000"/>
        </w:rPr>
        <w:footnoteReference w:id="68"/>
      </w:r>
      <w:r>
        <w:rPr>
          <w:rFonts w:cs="Times New Roman"/>
          <w:color w:val="000000"/>
        </w:rPr>
        <w:t>. Sono così incriminate le sole condotte che effettivamente incidano sull’andamento del titolo; rimangono quindi escluse tutte quelle condotte che, sebbene siano artificiose ed influenzino il mercato, come avviene del resto per qualsiasi anche minimo movimento in borsa, non abbiano dimensioni sufficienti a creare un convincimento errato nella generalità dei risparmiatori.</w:t>
      </w:r>
    </w:p>
    <w:p w14:paraId="39B87D18" w14:textId="4E5BC57E" w:rsidR="00CA0328" w:rsidRDefault="00CA0328" w:rsidP="0074459A">
      <w:pPr>
        <w:spacing w:before="100" w:beforeAutospacing="1" w:line="276" w:lineRule="auto"/>
        <w:ind w:firstLine="454"/>
        <w:rPr>
          <w:rFonts w:cs="Times New Roman"/>
          <w:color w:val="000000"/>
        </w:rPr>
      </w:pPr>
      <w:r w:rsidRPr="00E45437">
        <w:rPr>
          <w:rFonts w:cs="Times New Roman"/>
          <w:color w:val="000000"/>
        </w:rPr>
        <w:t>Il secondo comma però prevede</w:t>
      </w:r>
      <w:r>
        <w:rPr>
          <w:rFonts w:cs="Times New Roman"/>
          <w:color w:val="000000"/>
        </w:rPr>
        <w:t>va</w:t>
      </w:r>
      <w:r w:rsidRPr="00E45437">
        <w:rPr>
          <w:rFonts w:cs="Times New Roman"/>
          <w:color w:val="000000"/>
        </w:rPr>
        <w:t xml:space="preserve"> l’applicazione delle ben maggiori pene previste dall’art. 501 c.p. </w:t>
      </w:r>
      <w:r>
        <w:rPr>
          <w:rFonts w:cs="Times New Roman"/>
          <w:color w:val="000000"/>
        </w:rPr>
        <w:t>allorché</w:t>
      </w:r>
      <w:r w:rsidRPr="00E45437">
        <w:rPr>
          <w:rFonts w:cs="Times New Roman"/>
          <w:color w:val="000000"/>
        </w:rPr>
        <w:t xml:space="preserve"> sussista l’elemento soggettivo del dolo specifico di </w:t>
      </w:r>
      <w:r w:rsidR="00787258">
        <w:rPr>
          <w:rFonts w:cs="Times New Roman"/>
          <w:i/>
          <w:color w:val="000000"/>
        </w:rPr>
        <w:t>«</w:t>
      </w:r>
      <w:r w:rsidRPr="00E45437">
        <w:rPr>
          <w:rFonts w:cs="Times New Roman"/>
          <w:i/>
        </w:rPr>
        <w:t>provocare una sensibile alterazione del prezzo di valori mobiliari</w:t>
      </w:r>
      <w:r w:rsidR="00787258">
        <w:rPr>
          <w:rFonts w:cs="Times New Roman"/>
          <w:i/>
        </w:rPr>
        <w:t>»</w:t>
      </w:r>
      <w:r>
        <w:rPr>
          <w:rFonts w:cs="Times New Roman"/>
          <w:i/>
        </w:rPr>
        <w:t>,</w:t>
      </w:r>
      <w:r w:rsidRPr="00E45437">
        <w:rPr>
          <w:rFonts w:cs="Times New Roman"/>
        </w:rPr>
        <w:t xml:space="preserve"> ovvero</w:t>
      </w:r>
      <w:r>
        <w:rPr>
          <w:rFonts w:cs="Times New Roman"/>
        </w:rPr>
        <w:t xml:space="preserve"> di voler dare</w:t>
      </w:r>
      <w:r w:rsidRPr="00E45437">
        <w:rPr>
          <w:rFonts w:cs="Times New Roman"/>
        </w:rPr>
        <w:t xml:space="preserve"> </w:t>
      </w:r>
      <w:r w:rsidR="00787258">
        <w:rPr>
          <w:rFonts w:cs="Times New Roman"/>
          <w:i/>
        </w:rPr>
        <w:t>«</w:t>
      </w:r>
      <w:r w:rsidRPr="00E45437">
        <w:rPr>
          <w:rFonts w:cs="Times New Roman"/>
          <w:i/>
        </w:rPr>
        <w:t>l'apparenza di un mercato attivo</w:t>
      </w:r>
      <w:r>
        <w:rPr>
          <w:rFonts w:cs="Times New Roman"/>
          <w:i/>
        </w:rPr>
        <w:t xml:space="preserve"> su tali valori mobiliari</w:t>
      </w:r>
      <w:r w:rsidR="00787258">
        <w:rPr>
          <w:rFonts w:cs="Times New Roman"/>
          <w:i/>
        </w:rPr>
        <w:t>»</w:t>
      </w:r>
      <w:r w:rsidRPr="00E45437">
        <w:rPr>
          <w:rFonts w:cs="Times New Roman"/>
          <w:color w:val="000000"/>
        </w:rPr>
        <w:t>.</w:t>
      </w:r>
    </w:p>
    <w:p w14:paraId="75A3E00D" w14:textId="77777777" w:rsidR="00CA0328" w:rsidRPr="0026395D" w:rsidRDefault="00CA0328" w:rsidP="0074459A">
      <w:pPr>
        <w:spacing w:before="100" w:beforeAutospacing="1" w:line="276" w:lineRule="auto"/>
        <w:ind w:firstLine="454"/>
        <w:rPr>
          <w:rFonts w:cs="Times New Roman"/>
          <w:color w:val="000000"/>
        </w:rPr>
      </w:pPr>
      <w:r>
        <w:rPr>
          <w:rFonts w:cs="Times New Roman"/>
          <w:color w:val="000000"/>
        </w:rPr>
        <w:t>Il legislatore inserì una serie di aggravanti</w:t>
      </w:r>
      <w:r w:rsidRPr="00097A29">
        <w:rPr>
          <w:rFonts w:cs="Times New Roman"/>
          <w:color w:val="000000"/>
        </w:rPr>
        <w:t xml:space="preserve"> </w:t>
      </w:r>
      <w:r>
        <w:rPr>
          <w:rFonts w:cs="Times New Roman"/>
          <w:color w:val="000000"/>
        </w:rPr>
        <w:t>ulteriori. Queste erano, anzitutto, il verificarsi degli eventi che costituiscono il dolo specifico appena visto, con conseguente aumento di pena. Il legislatore poi, nel successivo quarto comma, rimandava a</w:t>
      </w:r>
      <w:r w:rsidRPr="0026395D">
        <w:rPr>
          <w:rFonts w:cs="Times New Roman"/>
          <w:color w:val="000000"/>
        </w:rPr>
        <w:t>lle aggravanti già previste dal terzo comma dell’art. 501 c.p.. Infine era previsto addirittura un raddoppio della pena per</w:t>
      </w:r>
      <w:r>
        <w:rPr>
          <w:rFonts w:cs="Times New Roman"/>
          <w:color w:val="000000"/>
        </w:rPr>
        <w:t xml:space="preserve"> il</w:t>
      </w:r>
      <w:r w:rsidRPr="0026395D">
        <w:rPr>
          <w:rFonts w:cs="Times New Roman"/>
          <w:color w:val="000000"/>
        </w:rPr>
        <w:t xml:space="preserve"> caso che il reato fosse </w:t>
      </w:r>
      <w:r>
        <w:rPr>
          <w:rFonts w:cs="Times New Roman"/>
          <w:color w:val="000000"/>
        </w:rPr>
        <w:t>stato posto in essere</w:t>
      </w:r>
      <w:r w:rsidRPr="0026395D">
        <w:rPr>
          <w:rFonts w:cs="Times New Roman"/>
          <w:color w:val="000000"/>
        </w:rPr>
        <w:t xml:space="preserve"> da soggetti che, per la loro posizione, avevano una facilità particolare a </w:t>
      </w:r>
      <w:r>
        <w:rPr>
          <w:rFonts w:cs="Times New Roman"/>
          <w:color w:val="000000"/>
        </w:rPr>
        <w:t>commetterlo</w:t>
      </w:r>
      <w:r w:rsidRPr="0026395D">
        <w:rPr>
          <w:rFonts w:cs="Times New Roman"/>
          <w:color w:val="000000"/>
        </w:rPr>
        <w:t xml:space="preserve"> (</w:t>
      </w:r>
      <w:r w:rsidRPr="0026395D">
        <w:rPr>
          <w:rFonts w:cs="Times New Roman"/>
        </w:rPr>
        <w:t xml:space="preserve">azionisti che anche di fatto esercitano il controllo della società, amministratori, </w:t>
      </w:r>
      <w:r>
        <w:rPr>
          <w:rFonts w:cs="Times New Roman"/>
        </w:rPr>
        <w:t>etc.</w:t>
      </w:r>
      <w:r>
        <w:rPr>
          <w:rStyle w:val="Rimandonotaapidipagina"/>
          <w:rFonts w:cs="Times New Roman"/>
        </w:rPr>
        <w:footnoteReference w:id="69"/>
      </w:r>
      <w:r w:rsidRPr="0026395D">
        <w:rPr>
          <w:rFonts w:cs="Times New Roman"/>
          <w:color w:val="000000"/>
        </w:rPr>
        <w:t>) ovvero avevano una funzione di garanzia nei confronti del pubblico (</w:t>
      </w:r>
      <w:r>
        <w:rPr>
          <w:rFonts w:cs="Times New Roman"/>
          <w:color w:val="000000"/>
        </w:rPr>
        <w:t>agenti di cambio</w:t>
      </w:r>
      <w:r>
        <w:rPr>
          <w:rStyle w:val="Rimandonotaapidipagina"/>
          <w:rFonts w:cs="Times New Roman"/>
          <w:color w:val="000000"/>
        </w:rPr>
        <w:footnoteReference w:id="70"/>
      </w:r>
      <w:r>
        <w:rPr>
          <w:rFonts w:cs="Times New Roman"/>
          <w:color w:val="000000"/>
        </w:rPr>
        <w:t xml:space="preserve">, </w:t>
      </w:r>
      <w:r w:rsidRPr="0026395D">
        <w:rPr>
          <w:rFonts w:cs="Times New Roman"/>
          <w:color w:val="000000"/>
        </w:rPr>
        <w:t xml:space="preserve">membri o dipendenti Consob, organi locali di borsa), ovvero ancora quando </w:t>
      </w:r>
      <w:r>
        <w:rPr>
          <w:rFonts w:cs="Times New Roman"/>
          <w:color w:val="000000"/>
        </w:rPr>
        <w:t>l’azione fosse stata compiuta</w:t>
      </w:r>
      <w:r w:rsidRPr="0026395D">
        <w:rPr>
          <w:rFonts w:cs="Times New Roman"/>
          <w:color w:val="000000"/>
        </w:rPr>
        <w:t xml:space="preserve"> con mezzi atti a moltiplicare la pericolosità della condotta, quali la stampa od altri mezzi di comunicazione di massa.</w:t>
      </w:r>
    </w:p>
    <w:p w14:paraId="2AD746DD" w14:textId="77777777" w:rsidR="00CA0328" w:rsidRPr="00242E5A" w:rsidRDefault="00CA0328" w:rsidP="0074459A">
      <w:pPr>
        <w:spacing w:before="100" w:beforeAutospacing="1" w:line="276" w:lineRule="auto"/>
        <w:ind w:firstLine="454"/>
        <w:rPr>
          <w:rFonts w:cs="Times New Roman"/>
          <w:color w:val="000000"/>
        </w:rPr>
      </w:pPr>
      <w:r w:rsidRPr="0026395D">
        <w:rPr>
          <w:rFonts w:cs="Times New Roman"/>
          <w:color w:val="000000"/>
        </w:rPr>
        <w:t>Da ultimo, la norma in esame dispone</w:t>
      </w:r>
      <w:r>
        <w:rPr>
          <w:rFonts w:cs="Times New Roman"/>
          <w:color w:val="000000"/>
        </w:rPr>
        <w:t>va</w:t>
      </w:r>
      <w:r w:rsidRPr="0026395D">
        <w:rPr>
          <w:rFonts w:cs="Times New Roman"/>
          <w:color w:val="000000"/>
        </w:rPr>
        <w:t xml:space="preserve"> l’applicazione della pena accessoria dell’interdizione in varie forme</w:t>
      </w:r>
      <w:r>
        <w:rPr>
          <w:rFonts w:cs="Times New Roman"/>
          <w:color w:val="000000"/>
        </w:rPr>
        <w:t>,</w:t>
      </w:r>
      <w:r w:rsidRPr="0026395D">
        <w:rPr>
          <w:rFonts w:cs="Times New Roman"/>
          <w:color w:val="000000"/>
        </w:rPr>
        <w:t xml:space="preserve"> quando v</w:t>
      </w:r>
      <w:r>
        <w:rPr>
          <w:rFonts w:cs="Times New Roman"/>
          <w:color w:val="000000"/>
        </w:rPr>
        <w:t>i fosse stata o una sensibile alterazione del prezzo dei valori mobiliari, ovvero l’apparenza di un mercato attivo.</w:t>
      </w:r>
    </w:p>
    <w:p w14:paraId="1FC654BE" w14:textId="774E0948" w:rsidR="00CA0328" w:rsidRPr="008E5905" w:rsidRDefault="00A02EC4" w:rsidP="0074459A">
      <w:pPr>
        <w:pStyle w:val="Titolo2"/>
        <w:numPr>
          <w:ilvl w:val="0"/>
          <w:numId w:val="22"/>
        </w:numPr>
      </w:pPr>
      <w:bookmarkStart w:id="14" w:name="_Toc271023077"/>
      <w:bookmarkStart w:id="15" w:name="_Toc272493052"/>
      <w:r>
        <w:t>La revisione della fattispecie nel decreto legislativo</w:t>
      </w:r>
      <w:r w:rsidR="00CA0328" w:rsidRPr="008E5905">
        <w:t xml:space="preserve"> n. 58 del 1998 </w:t>
      </w:r>
      <w:r>
        <w:t>(</w:t>
      </w:r>
      <w:r w:rsidR="00CA0328" w:rsidRPr="008E5905">
        <w:t>Testo unico della finanza – T.U.F.</w:t>
      </w:r>
      <w:bookmarkEnd w:id="14"/>
      <w:r>
        <w:t>)</w:t>
      </w:r>
      <w:bookmarkEnd w:id="15"/>
    </w:p>
    <w:p w14:paraId="16ADC94E" w14:textId="352D4915" w:rsidR="00CA0328" w:rsidRDefault="00CA0328" w:rsidP="0074459A">
      <w:pPr>
        <w:spacing w:before="100" w:beforeAutospacing="1" w:line="276" w:lineRule="auto"/>
        <w:ind w:firstLine="454"/>
        <w:rPr>
          <w:rFonts w:cs="Times New Roman"/>
        </w:rPr>
      </w:pPr>
      <w:r>
        <w:rPr>
          <w:rFonts w:cs="Times New Roman"/>
        </w:rPr>
        <w:t xml:space="preserve">La complessità della normativa appena esaminata ci fa capire perché fu salutata con favore dalla dottrina la sua sostituzione ad opera del d.lgs. 24 febbraio 1998, n. 58, contenente il </w:t>
      </w:r>
      <w:r w:rsidR="00787258">
        <w:rPr>
          <w:rFonts w:cs="Times New Roman"/>
          <w:i/>
        </w:rPr>
        <w:t>«</w:t>
      </w:r>
      <w:r w:rsidRPr="00C630E2">
        <w:rPr>
          <w:rFonts w:cs="Times New Roman"/>
          <w:i/>
        </w:rPr>
        <w:t>Testo unico delle disposizioni in materia di intermediazione finanziari</w:t>
      </w:r>
      <w:r>
        <w:rPr>
          <w:rFonts w:cs="Times New Roman"/>
          <w:i/>
        </w:rPr>
        <w:t>a</w:t>
      </w:r>
      <w:r w:rsidR="00787258">
        <w:rPr>
          <w:rFonts w:cs="Times New Roman"/>
          <w:i/>
        </w:rPr>
        <w:t>»</w:t>
      </w:r>
      <w:r>
        <w:rPr>
          <w:rFonts w:cs="Times New Roman"/>
        </w:rPr>
        <w:t xml:space="preserve"> (T.U.F.), anche detto decreto Draghi. Tale normativa riscrisse interamente la materia, come abbiamo visto precedentemente disciplinata dalla l. 157 del 1991, e sostituì così anche le previsioni in tema di aggiotaggio finanziario.</w:t>
      </w:r>
    </w:p>
    <w:p w14:paraId="2410655E" w14:textId="77777777" w:rsidR="00CA0328" w:rsidRDefault="00CA0328" w:rsidP="0074459A">
      <w:pPr>
        <w:spacing w:before="100" w:beforeAutospacing="1" w:line="276" w:lineRule="auto"/>
        <w:ind w:firstLine="454"/>
        <w:rPr>
          <w:rFonts w:cs="Times New Roman"/>
        </w:rPr>
      </w:pPr>
      <w:r>
        <w:rPr>
          <w:rFonts w:cs="Times New Roman"/>
        </w:rPr>
        <w:t xml:space="preserve">Dal punto di vista terminologico, alla nozione di valori mobiliari della precedente legge viene sostituito il concetto di strumenti finanziari, che già era stato introdotto con il decreto legislativo 23 luglio 1996, n. 415 (c.d. </w:t>
      </w:r>
      <w:r w:rsidRPr="00541CEB">
        <w:rPr>
          <w:rFonts w:cs="Times New Roman"/>
          <w:i/>
        </w:rPr>
        <w:t>Eurosim</w:t>
      </w:r>
      <w:r>
        <w:rPr>
          <w:rFonts w:cs="Times New Roman"/>
        </w:rPr>
        <w:t>). Il legislatore definisce così il più ampio ambito degli strumenti finanziari, in cui sono ricompresi anche i valori mobiliari, elencandoli puntualmente nei commi dal secondo al quarto dell’art. 1 del d. lgs. n. 58 del 1998.</w:t>
      </w:r>
    </w:p>
    <w:p w14:paraId="240D8B2F" w14:textId="77777777" w:rsidR="00CA0328" w:rsidRDefault="00CA0328" w:rsidP="0074459A">
      <w:pPr>
        <w:spacing w:before="100" w:beforeAutospacing="1" w:line="276" w:lineRule="auto"/>
        <w:ind w:firstLine="454"/>
        <w:rPr>
          <w:rFonts w:cs="Times New Roman"/>
        </w:rPr>
      </w:pPr>
      <w:r>
        <w:rPr>
          <w:rFonts w:cs="Times New Roman"/>
        </w:rPr>
        <w:t>Per quanto attiene al reato, un confronto con la precedente normativa evidenzia come l’approvazione dell’articolo 181</w:t>
      </w:r>
      <w:r>
        <w:rPr>
          <w:rStyle w:val="Rimandonotaapidipagina"/>
          <w:rFonts w:cs="Times New Roman"/>
        </w:rPr>
        <w:footnoteReference w:id="71"/>
      </w:r>
      <w:r>
        <w:rPr>
          <w:rFonts w:cs="Times New Roman"/>
        </w:rPr>
        <w:t xml:space="preserve"> del decreto Draghi abbia comportato una complessiva semplificazione della fattispecie.</w:t>
      </w:r>
    </w:p>
    <w:p w14:paraId="36A16137" w14:textId="77777777" w:rsidR="00CA0328" w:rsidRDefault="00CA0328" w:rsidP="0074459A">
      <w:pPr>
        <w:spacing w:before="100" w:beforeAutospacing="1" w:line="276" w:lineRule="auto"/>
        <w:ind w:firstLine="454"/>
        <w:rPr>
          <w:rFonts w:cs="Times New Roman"/>
        </w:rPr>
      </w:pPr>
      <w:r>
        <w:rPr>
          <w:rFonts w:cs="Times New Roman"/>
        </w:rPr>
        <w:t>La principale innovazione è rappresentata dall’eliminazione del requisito del dolo specifico per l’applicazione della pena della reclusione fino a tre anni, prevista dall’art. 501 c.p., che ora si applica già come pena base, sol che vi sia il dolo generico, e non più come aggravante. Dunque sarà sufficiente la volontà di porre in essere la condotta per configurare il reato</w:t>
      </w:r>
      <w:r>
        <w:rPr>
          <w:rStyle w:val="Rimandonotaapidipagina"/>
          <w:rFonts w:cs="Times New Roman"/>
        </w:rPr>
        <w:footnoteReference w:id="72"/>
      </w:r>
      <w:r>
        <w:rPr>
          <w:rFonts w:cs="Times New Roman"/>
        </w:rPr>
        <w:t>.</w:t>
      </w:r>
    </w:p>
    <w:p w14:paraId="7CFEDD88" w14:textId="31704306" w:rsidR="00CA0328" w:rsidRPr="00F9430B" w:rsidRDefault="00CA0328" w:rsidP="0074459A">
      <w:pPr>
        <w:spacing w:before="100" w:beforeAutospacing="1" w:line="276" w:lineRule="auto"/>
        <w:ind w:firstLine="454"/>
        <w:rPr>
          <w:rFonts w:cs="Times New Roman"/>
        </w:rPr>
      </w:pPr>
      <w:r>
        <w:rPr>
          <w:rFonts w:cs="Times New Roman"/>
        </w:rPr>
        <w:t>Vengono conseguentemente eliminate le aggravanti le</w:t>
      </w:r>
      <w:r w:rsidRPr="00E85023">
        <w:rPr>
          <w:rFonts w:cs="Times New Roman"/>
        </w:rPr>
        <w:t xml:space="preserve">gate al requisito del dolo specifico previste dalla precedente l. 157 del 1991, che diventano elemento di valutazione dell’idoneità della condotta, </w:t>
      </w:r>
      <w:r>
        <w:rPr>
          <w:rFonts w:cs="Times New Roman"/>
        </w:rPr>
        <w:t>volta</w:t>
      </w:r>
      <w:r w:rsidRPr="00E85023">
        <w:rPr>
          <w:rFonts w:cs="Times New Roman"/>
        </w:rPr>
        <w:t xml:space="preserve"> </w:t>
      </w:r>
      <w:r w:rsidR="00787258">
        <w:rPr>
          <w:rFonts w:cs="Times New Roman"/>
          <w:i/>
        </w:rPr>
        <w:t>«</w:t>
      </w:r>
      <w:r w:rsidRPr="00E85023">
        <w:rPr>
          <w:rFonts w:cs="Times New Roman"/>
          <w:i/>
        </w:rPr>
        <w:t>a provocare una sensibile alterazione del prezzo di strumenti finanziari o l'apparenza di un mercato attivo dei medesimi</w:t>
      </w:r>
      <w:r w:rsidR="00787258">
        <w:rPr>
          <w:rFonts w:cs="Times New Roman"/>
          <w:i/>
        </w:rPr>
        <w:t>»</w:t>
      </w:r>
      <w:r w:rsidRPr="00E85023">
        <w:rPr>
          <w:rFonts w:cs="Times New Roman"/>
          <w:i/>
        </w:rPr>
        <w:t>.</w:t>
      </w:r>
      <w:r w:rsidRPr="00E85023">
        <w:rPr>
          <w:rFonts w:cs="Times New Roman"/>
        </w:rPr>
        <w:t xml:space="preserve"> </w:t>
      </w:r>
      <w:r>
        <w:rPr>
          <w:rFonts w:cs="Times New Roman"/>
        </w:rPr>
        <w:t>Il secondo comma, invece, prevede ancora l’aggravante dell’effettivo verificarsi di tali eventi.</w:t>
      </w:r>
    </w:p>
    <w:p w14:paraId="5885B7DF" w14:textId="77777777" w:rsidR="00CA0328" w:rsidRDefault="00CA0328" w:rsidP="0074459A">
      <w:pPr>
        <w:spacing w:before="100" w:beforeAutospacing="1" w:line="276" w:lineRule="auto"/>
        <w:ind w:firstLine="454"/>
        <w:rPr>
          <w:rFonts w:cs="Times New Roman"/>
        </w:rPr>
      </w:pPr>
      <w:r>
        <w:rPr>
          <w:rFonts w:cs="Times New Roman"/>
        </w:rPr>
        <w:t>Inoltre il terzo comma riproponeva, con qualche modificazioni, le aggravanti che comportavano un raddoppio della pena.</w:t>
      </w:r>
    </w:p>
    <w:p w14:paraId="1CEBBD75" w14:textId="2A24213A" w:rsidR="00CA0328" w:rsidRPr="00DD7788" w:rsidRDefault="00CA0328" w:rsidP="0074459A">
      <w:pPr>
        <w:spacing w:before="100" w:beforeAutospacing="1" w:line="276" w:lineRule="auto"/>
        <w:ind w:firstLine="454"/>
        <w:rPr>
          <w:rFonts w:cs="Times New Roman"/>
        </w:rPr>
      </w:pPr>
      <w:r>
        <w:rPr>
          <w:rFonts w:cs="Times New Roman"/>
        </w:rPr>
        <w:t xml:space="preserve">Venivano in tale sede nuovamente richiamati, al punto a), i casi previsti dal terzo comma dell’art. 501 c.p., per l’analisi delle quali si rimanda a quanto già detto in merito a tale articolo. Peraltro in questa sede si può aggiungere come la previsione del fatto commesso </w:t>
      </w:r>
      <w:r w:rsidR="00787258">
        <w:rPr>
          <w:rFonts w:cs="Times New Roman"/>
          <w:i/>
        </w:rPr>
        <w:t>«</w:t>
      </w:r>
      <w:r w:rsidRPr="00DD7788">
        <w:rPr>
          <w:rFonts w:cs="Times New Roman"/>
          <w:i/>
        </w:rPr>
        <w:t>dal cittadino per favorire interessi stranieri</w:t>
      </w:r>
      <w:r w:rsidR="00787258">
        <w:rPr>
          <w:rFonts w:cs="Times New Roman"/>
          <w:i/>
        </w:rPr>
        <w:t>»</w:t>
      </w:r>
      <w:r>
        <w:rPr>
          <w:rFonts w:cs="Times New Roman"/>
        </w:rPr>
        <w:t xml:space="preserve"> sembrava inattuale in un mondo che andava già verso la globalizzazione. Mentre con riferimento al </w:t>
      </w:r>
      <w:r w:rsidR="00787258">
        <w:rPr>
          <w:rFonts w:cs="Times New Roman"/>
        </w:rPr>
        <w:t>«</w:t>
      </w:r>
      <w:r w:rsidRPr="00663BEC">
        <w:rPr>
          <w:rFonts w:cs="Times New Roman"/>
          <w:i/>
        </w:rPr>
        <w:t>deprezzamento della valuta nazionale o dei titoli dello Stato, ovvero il rincaro di merci di comune o largo consumo</w:t>
      </w:r>
      <w:r w:rsidR="00787258">
        <w:rPr>
          <w:rFonts w:cs="Times New Roman"/>
          <w:i/>
        </w:rPr>
        <w:t>»</w:t>
      </w:r>
      <w:r>
        <w:rPr>
          <w:rFonts w:cs="Times New Roman"/>
        </w:rPr>
        <w:t>, si deve notare come rientrassero nella nozione di strumenti finanziari i soli titoli di Stato, restando per il resto applicabile la fattispecie prevista dall’art. 501 c.p.</w:t>
      </w:r>
      <w:r>
        <w:rPr>
          <w:rStyle w:val="Rimandonotaapidipagina"/>
          <w:rFonts w:cs="Times New Roman"/>
        </w:rPr>
        <w:footnoteReference w:id="73"/>
      </w:r>
      <w:r>
        <w:rPr>
          <w:rFonts w:cs="Times New Roman"/>
        </w:rPr>
        <w:t>.</w:t>
      </w:r>
    </w:p>
    <w:p w14:paraId="1ACFE402" w14:textId="00471FA3" w:rsidR="00CA0328" w:rsidRPr="00EF01D8" w:rsidRDefault="00CA0328" w:rsidP="0074459A">
      <w:pPr>
        <w:spacing w:before="100" w:beforeAutospacing="1" w:line="276" w:lineRule="auto"/>
        <w:ind w:firstLine="454"/>
        <w:rPr>
          <w:rFonts w:cs="Times New Roman"/>
          <w:sz w:val="20"/>
          <w:szCs w:val="20"/>
        </w:rPr>
      </w:pPr>
      <w:r>
        <w:rPr>
          <w:rFonts w:cs="Times New Roman"/>
        </w:rPr>
        <w:t>I successivi punti b) e c) riprendevano le aggravanti già previste dall’art. 5 della l. 157 del 1991 nell’ipotesi in cui il reato fosse stato commesso da</w:t>
      </w:r>
      <w:r w:rsidRPr="00280342">
        <w:rPr>
          <w:rFonts w:cs="Times New Roman"/>
        </w:rPr>
        <w:t xml:space="preserve"> persone con particolari qualifiche ovvero con l’ausilio dei </w:t>
      </w:r>
      <w:r w:rsidRPr="005172B0">
        <w:rPr>
          <w:rFonts w:cs="Times New Roman"/>
          <w:i/>
        </w:rPr>
        <w:t>mass media</w:t>
      </w:r>
      <w:r w:rsidRPr="00280342">
        <w:rPr>
          <w:rFonts w:cs="Times New Roman"/>
        </w:rPr>
        <w:t>. Con riferimento alle qualifiche degli agenti, si deve dar conto della significativa modifica</w:t>
      </w:r>
      <w:r>
        <w:rPr>
          <w:rFonts w:cs="Times New Roman"/>
        </w:rPr>
        <w:t>,</w:t>
      </w:r>
      <w:r w:rsidRPr="00280342">
        <w:rPr>
          <w:rFonts w:cs="Times New Roman"/>
        </w:rPr>
        <w:t xml:space="preserve"> secondo la quale la qualifica degli amministratori, dei liquidatori, dei direttori generali, dei dirigenti, dei sindaci e dei revisori dei conti </w:t>
      </w:r>
      <w:r>
        <w:rPr>
          <w:rFonts w:cs="Times New Roman"/>
        </w:rPr>
        <w:t xml:space="preserve">rileva solo quando siano esercitate nell’ambito </w:t>
      </w:r>
      <w:r w:rsidR="00787258">
        <w:rPr>
          <w:rFonts w:cs="Times New Roman"/>
          <w:i/>
        </w:rPr>
        <w:t>«</w:t>
      </w:r>
      <w:r w:rsidRPr="00280342">
        <w:rPr>
          <w:rFonts w:cs="Times New Roman"/>
          <w:i/>
        </w:rPr>
        <w:t>di imprese di investimento o di banche che esercitano servizi di investimento</w:t>
      </w:r>
      <w:r w:rsidR="00787258">
        <w:rPr>
          <w:rFonts w:cs="Times New Roman"/>
          <w:i/>
        </w:rPr>
        <w:t>»</w:t>
      </w:r>
      <w:r>
        <w:rPr>
          <w:rFonts w:cs="Times New Roman"/>
        </w:rPr>
        <w:t>, e non più nelle società o in enti emittenti valori mobiliari</w:t>
      </w:r>
      <w:r>
        <w:rPr>
          <w:rStyle w:val="Rimandonotaapidipagina"/>
          <w:rFonts w:cs="Times New Roman"/>
        </w:rPr>
        <w:footnoteReference w:id="74"/>
      </w:r>
      <w:r>
        <w:rPr>
          <w:rFonts w:cs="Times New Roman"/>
        </w:rPr>
        <w:t>.</w:t>
      </w:r>
    </w:p>
    <w:p w14:paraId="03CE4460" w14:textId="732E51B4" w:rsidR="00371611" w:rsidRPr="005B1134" w:rsidRDefault="00DD7788" w:rsidP="0074459A">
      <w:pPr>
        <w:spacing w:before="100" w:beforeAutospacing="1" w:line="276" w:lineRule="auto"/>
        <w:ind w:firstLine="454"/>
        <w:rPr>
          <w:rFonts w:cs="Times New Roman"/>
        </w:rPr>
      </w:pPr>
      <w:r>
        <w:rPr>
          <w:rFonts w:cs="Times New Roman"/>
        </w:rPr>
        <w:t>I</w:t>
      </w:r>
      <w:r w:rsidR="00F9430B">
        <w:rPr>
          <w:rFonts w:cs="Times New Roman"/>
        </w:rPr>
        <w:t>nfine</w:t>
      </w:r>
      <w:r w:rsidR="00744A17">
        <w:rPr>
          <w:rFonts w:cs="Times New Roman"/>
        </w:rPr>
        <w:t xml:space="preserve">, dal punto di vista sanzionatorio, </w:t>
      </w:r>
      <w:r w:rsidR="005108A6">
        <w:rPr>
          <w:rFonts w:cs="Times New Roman"/>
        </w:rPr>
        <w:t>si è</w:t>
      </w:r>
      <w:r w:rsidR="0082453F">
        <w:rPr>
          <w:rFonts w:cs="Times New Roman"/>
        </w:rPr>
        <w:t xml:space="preserve"> già</w:t>
      </w:r>
      <w:r w:rsidR="00371611">
        <w:rPr>
          <w:rFonts w:cs="Times New Roman"/>
        </w:rPr>
        <w:t xml:space="preserve"> visto come vi </w:t>
      </w:r>
      <w:r w:rsidR="005172B0">
        <w:rPr>
          <w:rFonts w:cs="Times New Roman"/>
        </w:rPr>
        <w:t>fosse</w:t>
      </w:r>
      <w:r w:rsidR="00371611">
        <w:rPr>
          <w:rFonts w:cs="Times New Roman"/>
        </w:rPr>
        <w:t xml:space="preserve"> stato un deciso innalzamento di pene</w:t>
      </w:r>
      <w:r w:rsidR="00F9430B">
        <w:rPr>
          <w:rFonts w:cs="Times New Roman"/>
        </w:rPr>
        <w:t xml:space="preserve">. </w:t>
      </w:r>
      <w:r w:rsidR="00371611">
        <w:rPr>
          <w:rFonts w:cs="Times New Roman"/>
        </w:rPr>
        <w:t xml:space="preserve">Oltre </w:t>
      </w:r>
      <w:r w:rsidR="005172B0">
        <w:rPr>
          <w:rFonts w:cs="Times New Roman"/>
        </w:rPr>
        <w:t>all’inasprimento della pena principale, portata</w:t>
      </w:r>
      <w:r w:rsidR="0082453F">
        <w:rPr>
          <w:rFonts w:cs="Times New Roman"/>
        </w:rPr>
        <w:t xml:space="preserve"> fino ad un massimo di tre anni di reclusione</w:t>
      </w:r>
      <w:r w:rsidR="00371611" w:rsidRPr="00B7701C">
        <w:rPr>
          <w:rFonts w:cs="Times New Roman"/>
        </w:rPr>
        <w:t xml:space="preserve">, si deve segnalare che </w:t>
      </w:r>
      <w:r w:rsidR="00B7701C">
        <w:rPr>
          <w:rFonts w:cs="Times New Roman"/>
        </w:rPr>
        <w:t xml:space="preserve">l’articolo 182 </w:t>
      </w:r>
      <w:r w:rsidR="005B1134">
        <w:rPr>
          <w:rFonts w:cs="Times New Roman"/>
        </w:rPr>
        <w:t>introdusse</w:t>
      </w:r>
      <w:r w:rsidR="00371611" w:rsidRPr="00B7701C">
        <w:rPr>
          <w:rFonts w:cs="Times New Roman"/>
        </w:rPr>
        <w:t xml:space="preserve"> </w:t>
      </w:r>
      <w:r w:rsidR="00B7701C" w:rsidRPr="00B7701C">
        <w:rPr>
          <w:rFonts w:cs="Times New Roman"/>
        </w:rPr>
        <w:t xml:space="preserve">l’ulteriore pena accessoria della </w:t>
      </w:r>
      <w:r w:rsidR="00787258">
        <w:rPr>
          <w:rFonts w:cs="Times New Roman"/>
          <w:i/>
        </w:rPr>
        <w:t>«</w:t>
      </w:r>
      <w:r w:rsidR="00B7701C" w:rsidRPr="00B7701C">
        <w:rPr>
          <w:rFonts w:cs="Times New Roman"/>
          <w:i/>
        </w:rPr>
        <w:t>pubblicazione della sentenza su almeno due quotidiani, di cui uno economico, a diffusione nazionale</w:t>
      </w:r>
      <w:r w:rsidR="00787258">
        <w:rPr>
          <w:rFonts w:cs="Times New Roman"/>
          <w:i/>
        </w:rPr>
        <w:t>»</w:t>
      </w:r>
      <w:r w:rsidR="00B7701C" w:rsidRPr="00B7701C">
        <w:rPr>
          <w:rFonts w:cs="Times New Roman"/>
          <w:i/>
        </w:rPr>
        <w:t>.</w:t>
      </w:r>
      <w:r w:rsidR="005B1134">
        <w:rPr>
          <w:rFonts w:cs="Times New Roman"/>
          <w:i/>
        </w:rPr>
        <w:t xml:space="preserve"> </w:t>
      </w:r>
      <w:r w:rsidR="005B1134">
        <w:rPr>
          <w:rFonts w:cs="Times New Roman"/>
        </w:rPr>
        <w:t xml:space="preserve">Questa si va peraltro ad aggiungere </w:t>
      </w:r>
      <w:r w:rsidR="005B1134" w:rsidRPr="00B7701C">
        <w:rPr>
          <w:rFonts w:cs="Times New Roman"/>
        </w:rPr>
        <w:t xml:space="preserve">all’applicazione delle </w:t>
      </w:r>
      <w:r w:rsidR="00787258">
        <w:rPr>
          <w:rFonts w:cs="Times New Roman"/>
          <w:i/>
        </w:rPr>
        <w:t>«</w:t>
      </w:r>
      <w:r w:rsidR="005B1134" w:rsidRPr="00B7701C">
        <w:rPr>
          <w:rFonts w:cs="Times New Roman"/>
          <w:i/>
        </w:rPr>
        <w:t>pene accessorie pre</w:t>
      </w:r>
      <w:r w:rsidR="005B1134">
        <w:rPr>
          <w:rFonts w:cs="Times New Roman"/>
          <w:i/>
        </w:rPr>
        <w:t>viste dagli articoli 28, 30, 32</w:t>
      </w:r>
      <w:r w:rsidR="005B1134" w:rsidRPr="00B7701C">
        <w:rPr>
          <w:rFonts w:cs="Times New Roman"/>
          <w:i/>
        </w:rPr>
        <w:t xml:space="preserve"> bis, primo comma, e 32 ter del codice penale per una durata non inferiore a sei mesi e non superiore a due anni</w:t>
      </w:r>
      <w:r w:rsidR="00787258">
        <w:rPr>
          <w:rFonts w:cs="Times New Roman"/>
          <w:i/>
        </w:rPr>
        <w:t>»</w:t>
      </w:r>
      <w:r w:rsidR="005B1134" w:rsidRPr="00B7701C">
        <w:rPr>
          <w:rFonts w:cs="Times New Roman"/>
          <w:i/>
        </w:rPr>
        <w:t xml:space="preserve">, </w:t>
      </w:r>
      <w:r w:rsidR="005B1134" w:rsidRPr="00B7701C">
        <w:rPr>
          <w:rFonts w:cs="Times New Roman"/>
        </w:rPr>
        <w:t>già previste dalla precedente legge</w:t>
      </w:r>
      <w:r w:rsidR="005B1134">
        <w:rPr>
          <w:rFonts w:cs="Times New Roman"/>
        </w:rPr>
        <w:t>.</w:t>
      </w:r>
    </w:p>
    <w:p w14:paraId="1B21B9DE" w14:textId="35B6D72F" w:rsidR="008A7631" w:rsidRPr="002F10A2" w:rsidRDefault="00867D5B" w:rsidP="0074459A">
      <w:pPr>
        <w:pStyle w:val="Titolo2"/>
        <w:numPr>
          <w:ilvl w:val="0"/>
          <w:numId w:val="22"/>
        </w:numPr>
      </w:pPr>
      <w:bookmarkStart w:id="16" w:name="_Toc272493053"/>
      <w:r w:rsidRPr="002F10A2">
        <w:t>L</w:t>
      </w:r>
      <w:r w:rsidR="000501BF" w:rsidRPr="002F10A2">
        <w:t>a riforma dei reati societari del 2002</w:t>
      </w:r>
      <w:r w:rsidR="00A02EC4">
        <w:t>. Le modifiche all’aggiotaggio societario</w:t>
      </w:r>
      <w:bookmarkEnd w:id="16"/>
    </w:p>
    <w:p w14:paraId="77E44CD1" w14:textId="77777777" w:rsidR="00CB7A36" w:rsidRDefault="004A0869" w:rsidP="0074459A">
      <w:pPr>
        <w:spacing w:before="100" w:beforeAutospacing="1" w:line="276" w:lineRule="auto"/>
        <w:ind w:firstLine="454"/>
        <w:rPr>
          <w:rFonts w:cs="Times New Roman"/>
        </w:rPr>
      </w:pPr>
      <w:r w:rsidRPr="00894FB0">
        <w:rPr>
          <w:rFonts w:cs="Times New Roman"/>
        </w:rPr>
        <w:t xml:space="preserve">Il </w:t>
      </w:r>
      <w:r w:rsidR="00674EF2" w:rsidRPr="00894FB0">
        <w:rPr>
          <w:rFonts w:cs="Times New Roman"/>
        </w:rPr>
        <w:t>cod</w:t>
      </w:r>
      <w:r w:rsidR="00674EF2" w:rsidRPr="009F5292">
        <w:rPr>
          <w:rFonts w:cs="Times New Roman"/>
        </w:rPr>
        <w:t>ice Rocco</w:t>
      </w:r>
      <w:r w:rsidRPr="009F5292">
        <w:rPr>
          <w:rFonts w:cs="Times New Roman"/>
        </w:rPr>
        <w:t xml:space="preserve"> aveva avuto il merito</w:t>
      </w:r>
      <w:r w:rsidR="008A7631" w:rsidRPr="009F5292">
        <w:rPr>
          <w:rFonts w:cs="Times New Roman"/>
        </w:rPr>
        <w:t xml:space="preserve"> indiscusso</w:t>
      </w:r>
      <w:r w:rsidRPr="009F5292">
        <w:rPr>
          <w:rFonts w:cs="Times New Roman"/>
        </w:rPr>
        <w:t xml:space="preserve"> di ridurre </w:t>
      </w:r>
      <w:r w:rsidR="00674EF2" w:rsidRPr="009F5292">
        <w:rPr>
          <w:rFonts w:cs="Times New Roman"/>
          <w:i/>
        </w:rPr>
        <w:t>ad unum</w:t>
      </w:r>
      <w:r w:rsidRPr="009F5292">
        <w:rPr>
          <w:rFonts w:cs="Times New Roman"/>
        </w:rPr>
        <w:t>, nell’articolo 501,</w:t>
      </w:r>
      <w:r w:rsidR="00674EF2" w:rsidRPr="009F5292">
        <w:rPr>
          <w:rFonts w:cs="Times New Roman"/>
        </w:rPr>
        <w:t xml:space="preserve"> le due diverse fattispecie di aggiotaggio comune ed annonario</w:t>
      </w:r>
      <w:r w:rsidRPr="009F5292">
        <w:rPr>
          <w:rFonts w:cs="Times New Roman"/>
        </w:rPr>
        <w:t>.</w:t>
      </w:r>
    </w:p>
    <w:p w14:paraId="0C63DF98" w14:textId="77777777" w:rsidR="00A00953" w:rsidRPr="00805E3A" w:rsidRDefault="00D76EB3" w:rsidP="0074459A">
      <w:pPr>
        <w:spacing w:before="100" w:beforeAutospacing="1" w:line="276" w:lineRule="auto"/>
        <w:ind w:firstLine="454"/>
        <w:rPr>
          <w:rFonts w:cs="Times New Roman"/>
        </w:rPr>
      </w:pPr>
      <w:r>
        <w:rPr>
          <w:rFonts w:cs="Times New Roman"/>
        </w:rPr>
        <w:t>In contraddizione con tale sistematica giuridica,</w:t>
      </w:r>
      <w:r w:rsidR="008A7631" w:rsidRPr="009F5292">
        <w:rPr>
          <w:rFonts w:cs="Times New Roman"/>
        </w:rPr>
        <w:t xml:space="preserve"> </w:t>
      </w:r>
      <w:r>
        <w:rPr>
          <w:rFonts w:cs="Times New Roman"/>
        </w:rPr>
        <w:t xml:space="preserve">i </w:t>
      </w:r>
      <w:r w:rsidR="004A0869" w:rsidRPr="009F5292">
        <w:rPr>
          <w:rFonts w:cs="Times New Roman"/>
        </w:rPr>
        <w:t>legislator</w:t>
      </w:r>
      <w:r>
        <w:rPr>
          <w:rFonts w:cs="Times New Roman"/>
        </w:rPr>
        <w:t>i fascista e repubblicano</w:t>
      </w:r>
      <w:r w:rsidR="004A0869" w:rsidRPr="00805E3A">
        <w:rPr>
          <w:rFonts w:cs="Times New Roman"/>
        </w:rPr>
        <w:t xml:space="preserve"> </w:t>
      </w:r>
      <w:r>
        <w:rPr>
          <w:rFonts w:cs="Times New Roman"/>
        </w:rPr>
        <w:t>introdussero</w:t>
      </w:r>
      <w:r w:rsidR="004A0869" w:rsidRPr="00805E3A">
        <w:rPr>
          <w:rFonts w:cs="Times New Roman"/>
        </w:rPr>
        <w:t xml:space="preserve"> una serie di fattispecie speciali</w:t>
      </w:r>
      <w:r w:rsidR="00674EF2" w:rsidRPr="00805E3A">
        <w:rPr>
          <w:rFonts w:cs="Times New Roman"/>
        </w:rPr>
        <w:t xml:space="preserve">, </w:t>
      </w:r>
      <w:r w:rsidR="00CB7A36">
        <w:rPr>
          <w:rFonts w:cs="Times New Roman"/>
        </w:rPr>
        <w:t xml:space="preserve">alcune delle quali </w:t>
      </w:r>
      <w:r w:rsidR="00674EF2" w:rsidRPr="00805E3A">
        <w:rPr>
          <w:rFonts w:cs="Times New Roman"/>
        </w:rPr>
        <w:t>emanate</w:t>
      </w:r>
      <w:r w:rsidR="00CB7A36">
        <w:rPr>
          <w:rFonts w:cs="Times New Roman"/>
        </w:rPr>
        <w:t xml:space="preserve"> anche</w:t>
      </w:r>
      <w:r w:rsidR="00674EF2" w:rsidRPr="00805E3A">
        <w:rPr>
          <w:rFonts w:cs="Times New Roman"/>
        </w:rPr>
        <w:t xml:space="preserve"> </w:t>
      </w:r>
      <w:r w:rsidR="00180E6E">
        <w:rPr>
          <w:rFonts w:cs="Times New Roman"/>
        </w:rPr>
        <w:t>per prevenire possibili speculazioni occasionate dal</w:t>
      </w:r>
      <w:r w:rsidR="006134AD">
        <w:rPr>
          <w:rFonts w:cs="Times New Roman"/>
        </w:rPr>
        <w:t xml:space="preserve"> secondo conflitto</w:t>
      </w:r>
      <w:r w:rsidR="008A7631" w:rsidRPr="00805E3A">
        <w:rPr>
          <w:rFonts w:cs="Times New Roman"/>
        </w:rPr>
        <w:t xml:space="preserve"> </w:t>
      </w:r>
      <w:r w:rsidR="006134AD">
        <w:rPr>
          <w:rFonts w:cs="Times New Roman"/>
        </w:rPr>
        <w:t>mondiale</w:t>
      </w:r>
      <w:r w:rsidR="00674EF2" w:rsidRPr="00805E3A">
        <w:rPr>
          <w:rFonts w:cs="Times New Roman"/>
        </w:rPr>
        <w:t xml:space="preserve"> ch</w:t>
      </w:r>
      <w:r w:rsidR="00180E6E">
        <w:rPr>
          <w:rFonts w:cs="Times New Roman"/>
        </w:rPr>
        <w:t>e ormai si profilava imminente.</w:t>
      </w:r>
      <w:r w:rsidR="00CB7A36">
        <w:rPr>
          <w:rFonts w:cs="Times New Roman"/>
        </w:rPr>
        <w:t xml:space="preserve"> </w:t>
      </w:r>
      <w:r>
        <w:rPr>
          <w:rFonts w:cs="Times New Roman"/>
        </w:rPr>
        <w:t>Di</w:t>
      </w:r>
      <w:r w:rsidR="00751A3F" w:rsidRPr="00805E3A">
        <w:rPr>
          <w:rFonts w:cs="Times New Roman"/>
        </w:rPr>
        <w:t xml:space="preserve"> seguito </w:t>
      </w:r>
      <w:r w:rsidR="00CB7A36">
        <w:rPr>
          <w:rFonts w:cs="Times New Roman"/>
        </w:rPr>
        <w:t xml:space="preserve">si </w:t>
      </w:r>
      <w:r>
        <w:rPr>
          <w:rFonts w:cs="Times New Roman"/>
        </w:rPr>
        <w:t>illustra, in</w:t>
      </w:r>
      <w:r w:rsidR="00751A3F" w:rsidRPr="00805E3A">
        <w:rPr>
          <w:rFonts w:cs="Times New Roman"/>
        </w:rPr>
        <w:t xml:space="preserve"> </w:t>
      </w:r>
      <w:r w:rsidR="006134AD">
        <w:rPr>
          <w:rFonts w:cs="Times New Roman"/>
        </w:rPr>
        <w:t>un</w:t>
      </w:r>
      <w:r w:rsidR="00751A3F" w:rsidRPr="00805E3A">
        <w:rPr>
          <w:rFonts w:cs="Times New Roman"/>
        </w:rPr>
        <w:t xml:space="preserve"> quadro </w:t>
      </w:r>
      <w:r w:rsidR="006134AD">
        <w:rPr>
          <w:rFonts w:cs="Times New Roman"/>
        </w:rPr>
        <w:t>riepilogativo</w:t>
      </w:r>
      <w:r>
        <w:rPr>
          <w:rFonts w:cs="Times New Roman"/>
        </w:rPr>
        <w:t>,</w:t>
      </w:r>
      <w:r w:rsidR="00751A3F" w:rsidRPr="00805E3A">
        <w:rPr>
          <w:rFonts w:cs="Times New Roman"/>
        </w:rPr>
        <w:t xml:space="preserve"> </w:t>
      </w:r>
      <w:r>
        <w:rPr>
          <w:rFonts w:cs="Times New Roman"/>
        </w:rPr>
        <w:t>l’insieme delle</w:t>
      </w:r>
      <w:r w:rsidR="00751A3F" w:rsidRPr="00805E3A">
        <w:rPr>
          <w:rFonts w:cs="Times New Roman"/>
        </w:rPr>
        <w:t xml:space="preserve"> fattispecie:</w:t>
      </w:r>
    </w:p>
    <w:p w14:paraId="6E8592D2" w14:textId="63743705" w:rsidR="00752DE7" w:rsidRPr="00805E3A" w:rsidRDefault="00752DE7" w:rsidP="0074459A">
      <w:pPr>
        <w:pStyle w:val="Paragrafoelenco"/>
        <w:numPr>
          <w:ilvl w:val="0"/>
          <w:numId w:val="13"/>
        </w:numPr>
        <w:spacing w:before="100" w:beforeAutospacing="1" w:line="276" w:lineRule="auto"/>
        <w:rPr>
          <w:rFonts w:cs="Times New Roman"/>
        </w:rPr>
      </w:pPr>
      <w:r w:rsidRPr="00805E3A">
        <w:rPr>
          <w:rFonts w:cs="Times New Roman"/>
        </w:rPr>
        <w:t>la fattispecie di aggiotaggio comune continuò ad essere prevista dal codice penale all’articolo 501</w:t>
      </w:r>
      <w:r w:rsidR="008746FB">
        <w:rPr>
          <w:rFonts w:cs="Times New Roman"/>
        </w:rPr>
        <w:t xml:space="preserve">, dove si trova ancora </w:t>
      </w:r>
      <w:r w:rsidR="00180E6E">
        <w:rPr>
          <w:rFonts w:cs="Times New Roman"/>
        </w:rPr>
        <w:t>oggi</w:t>
      </w:r>
      <w:r w:rsidRPr="00805E3A">
        <w:rPr>
          <w:rFonts w:cs="Times New Roman"/>
        </w:rPr>
        <w:t xml:space="preserve">. </w:t>
      </w:r>
      <w:r w:rsidR="00133567" w:rsidRPr="00805E3A">
        <w:rPr>
          <w:rFonts w:cs="Times New Roman"/>
        </w:rPr>
        <w:t>L’u</w:t>
      </w:r>
      <w:r w:rsidRPr="00805E3A">
        <w:rPr>
          <w:rFonts w:cs="Times New Roman"/>
        </w:rPr>
        <w:t xml:space="preserve">nica </w:t>
      </w:r>
      <w:r w:rsidR="00133567" w:rsidRPr="00805E3A">
        <w:rPr>
          <w:rFonts w:cs="Times New Roman"/>
        </w:rPr>
        <w:t>modifica del testo fu apportata dal d.l. 15 ottobre 1976, n. 704, poi convertito nella l. 27 novembre 1976, n. 787, il quale portò la multa</w:t>
      </w:r>
      <w:r w:rsidR="008746FB">
        <w:rPr>
          <w:rFonts w:cs="Times New Roman"/>
        </w:rPr>
        <w:t xml:space="preserve">, </w:t>
      </w:r>
      <w:r w:rsidR="00787258">
        <w:rPr>
          <w:rFonts w:cs="Times New Roman"/>
          <w:i/>
        </w:rPr>
        <w:t>«</w:t>
      </w:r>
      <w:r w:rsidR="008746FB" w:rsidRPr="008746FB">
        <w:rPr>
          <w:rFonts w:cs="Times New Roman"/>
          <w:i/>
        </w:rPr>
        <w:t>non inferiore a lire centoventimila</w:t>
      </w:r>
      <w:r w:rsidR="00787258">
        <w:rPr>
          <w:rFonts w:cs="Times New Roman"/>
          <w:i/>
        </w:rPr>
        <w:t>»</w:t>
      </w:r>
      <w:r w:rsidR="008746FB">
        <w:rPr>
          <w:rFonts w:cs="Times New Roman"/>
        </w:rPr>
        <w:t>,</w:t>
      </w:r>
      <w:r w:rsidR="00133567" w:rsidRPr="00805E3A">
        <w:rPr>
          <w:rFonts w:cs="Times New Roman"/>
        </w:rPr>
        <w:t xml:space="preserve"> alla cifra attuale</w:t>
      </w:r>
      <w:r w:rsidR="00180E6E">
        <w:rPr>
          <w:rFonts w:cs="Times New Roman"/>
        </w:rPr>
        <w:t>,</w:t>
      </w:r>
      <w:r w:rsidR="00133567" w:rsidRPr="00805E3A">
        <w:rPr>
          <w:rFonts w:cs="Times New Roman"/>
        </w:rPr>
        <w:t xml:space="preserve"> compresa tra un milione e cinquanta milioni di lire;</w:t>
      </w:r>
    </w:p>
    <w:p w14:paraId="155E82DE" w14:textId="637536DC" w:rsidR="00E1554A" w:rsidRPr="00805E3A" w:rsidRDefault="00CB7A36" w:rsidP="0074459A">
      <w:pPr>
        <w:pStyle w:val="Paragrafoelenco"/>
        <w:numPr>
          <w:ilvl w:val="0"/>
          <w:numId w:val="13"/>
        </w:numPr>
        <w:spacing w:before="100" w:beforeAutospacing="1" w:line="276" w:lineRule="auto"/>
        <w:rPr>
          <w:rFonts w:cs="Times New Roman"/>
        </w:rPr>
      </w:pPr>
      <w:r>
        <w:rPr>
          <w:rFonts w:cs="Times New Roman"/>
        </w:rPr>
        <w:t xml:space="preserve">il medesimo </w:t>
      </w:r>
      <w:r w:rsidR="00133567" w:rsidRPr="00805E3A">
        <w:rPr>
          <w:rFonts w:cs="Times New Roman"/>
        </w:rPr>
        <w:t xml:space="preserve">d.l. inserì l’ulteriore fattispecie di </w:t>
      </w:r>
      <w:r w:rsidR="00787258">
        <w:rPr>
          <w:rFonts w:cs="Times New Roman"/>
          <w:i/>
        </w:rPr>
        <w:t>«</w:t>
      </w:r>
      <w:r w:rsidR="00133567" w:rsidRPr="00B46D1A">
        <w:rPr>
          <w:rFonts w:cs="Times New Roman"/>
          <w:i/>
        </w:rPr>
        <w:t>Manovre speculative su merci</w:t>
      </w:r>
      <w:r w:rsidR="00787258">
        <w:rPr>
          <w:rFonts w:cs="Times New Roman"/>
          <w:i/>
        </w:rPr>
        <w:t>»</w:t>
      </w:r>
      <w:r w:rsidR="00133567" w:rsidRPr="00805E3A">
        <w:rPr>
          <w:rFonts w:cs="Times New Roman"/>
        </w:rPr>
        <w:t xml:space="preserve"> all’articolo 501 bis</w:t>
      </w:r>
      <w:r>
        <w:rPr>
          <w:rFonts w:cs="Times New Roman"/>
        </w:rPr>
        <w:t xml:space="preserve"> del codice penale</w:t>
      </w:r>
      <w:r w:rsidR="000B2FC7" w:rsidRPr="00805E3A">
        <w:rPr>
          <w:rFonts w:cs="Times New Roman"/>
        </w:rPr>
        <w:t>;</w:t>
      </w:r>
      <w:r w:rsidR="00E1554A" w:rsidRPr="00805E3A">
        <w:rPr>
          <w:rFonts w:cs="Times New Roman"/>
        </w:rPr>
        <w:t xml:space="preserve"> </w:t>
      </w:r>
    </w:p>
    <w:p w14:paraId="65CF4CCC" w14:textId="77777777" w:rsidR="00674EF2" w:rsidRPr="00805E3A" w:rsidRDefault="00AD25F4" w:rsidP="0074459A">
      <w:pPr>
        <w:pStyle w:val="Paragrafoelenco"/>
        <w:numPr>
          <w:ilvl w:val="0"/>
          <w:numId w:val="13"/>
        </w:numPr>
        <w:spacing w:before="100" w:beforeAutospacing="1" w:line="276" w:lineRule="auto"/>
        <w:rPr>
          <w:rFonts w:cs="Times New Roman"/>
        </w:rPr>
      </w:pPr>
      <w:r w:rsidRPr="00805E3A">
        <w:rPr>
          <w:rFonts w:cs="Times New Roman"/>
        </w:rPr>
        <w:t>l’articolo 98</w:t>
      </w:r>
      <w:r w:rsidR="008117E3">
        <w:rPr>
          <w:rStyle w:val="Rimandonotaapidipagina"/>
          <w:rFonts w:cs="Times New Roman"/>
        </w:rPr>
        <w:footnoteReference w:id="75"/>
      </w:r>
      <w:r w:rsidRPr="00805E3A">
        <w:rPr>
          <w:rFonts w:cs="Times New Roman"/>
        </w:rPr>
        <w:t xml:space="preserve"> del r.d.l. 12 marzo 1936, n. 375, convertito con la legge 7 marzo 1938</w:t>
      </w:r>
      <w:r w:rsidR="0044063D">
        <w:rPr>
          <w:rFonts w:cs="Times New Roman"/>
        </w:rPr>
        <w:t>, n. 141</w:t>
      </w:r>
      <w:r w:rsidR="000264C2" w:rsidRPr="00805E3A">
        <w:rPr>
          <w:rFonts w:cs="Times New Roman"/>
        </w:rPr>
        <w:t xml:space="preserve"> (</w:t>
      </w:r>
      <w:r w:rsidR="003C3476">
        <w:rPr>
          <w:rFonts w:cs="Times New Roman"/>
        </w:rPr>
        <w:t>c.d.</w:t>
      </w:r>
      <w:r w:rsidR="000264C2" w:rsidRPr="00805E3A">
        <w:rPr>
          <w:rFonts w:cs="Times New Roman"/>
        </w:rPr>
        <w:t xml:space="preserve"> Legge bancaria)</w:t>
      </w:r>
      <w:r w:rsidRPr="00805E3A">
        <w:rPr>
          <w:rFonts w:cs="Times New Roman"/>
        </w:rPr>
        <w:t>, prevedeva la fattispecie di aggiotaggio bancario. Tale norma transit</w:t>
      </w:r>
      <w:r w:rsidR="00133567" w:rsidRPr="00805E3A">
        <w:rPr>
          <w:rFonts w:cs="Times New Roman"/>
        </w:rPr>
        <w:t>ò prima nell’articolo 38 del d.</w:t>
      </w:r>
      <w:r w:rsidRPr="00805E3A">
        <w:rPr>
          <w:rFonts w:cs="Times New Roman"/>
        </w:rPr>
        <w:t xml:space="preserve">lgs. </w:t>
      </w:r>
      <w:r w:rsidR="00752DE7" w:rsidRPr="00805E3A">
        <w:rPr>
          <w:rFonts w:cs="Times New Roman"/>
        </w:rPr>
        <w:t>14 dicembre 1992</w:t>
      </w:r>
      <w:r w:rsidR="00B71395">
        <w:rPr>
          <w:rFonts w:cs="Times New Roman"/>
        </w:rPr>
        <w:t>, n. 481,</w:t>
      </w:r>
      <w:r w:rsidR="00752DE7" w:rsidRPr="00805E3A">
        <w:rPr>
          <w:rFonts w:cs="Times New Roman"/>
        </w:rPr>
        <w:t xml:space="preserve"> e</w:t>
      </w:r>
      <w:r w:rsidR="008746FB">
        <w:rPr>
          <w:rFonts w:cs="Times New Roman"/>
        </w:rPr>
        <w:t>d</w:t>
      </w:r>
      <w:r w:rsidR="00752DE7" w:rsidRPr="00805E3A">
        <w:rPr>
          <w:rFonts w:cs="Times New Roman"/>
        </w:rPr>
        <w:t xml:space="preserve"> in s</w:t>
      </w:r>
      <w:r w:rsidR="003C3476">
        <w:rPr>
          <w:rFonts w:cs="Times New Roman"/>
        </w:rPr>
        <w:t>eguito nel</w:t>
      </w:r>
      <w:r w:rsidR="0087734D">
        <w:rPr>
          <w:rFonts w:cs="Times New Roman"/>
        </w:rPr>
        <w:t>l</w:t>
      </w:r>
      <w:r w:rsidR="00133567" w:rsidRPr="00805E3A">
        <w:rPr>
          <w:rFonts w:cs="Times New Roman"/>
        </w:rPr>
        <w:t>’articolo 138 del d.</w:t>
      </w:r>
      <w:r w:rsidR="00752DE7" w:rsidRPr="00805E3A">
        <w:rPr>
          <w:rFonts w:cs="Times New Roman"/>
        </w:rPr>
        <w:t>lgs. 1° settembre 1993</w:t>
      </w:r>
      <w:r w:rsidR="003C3476">
        <w:rPr>
          <w:rFonts w:cs="Times New Roman"/>
        </w:rPr>
        <w:t>, n. 385</w:t>
      </w:r>
      <w:r w:rsidR="00752DE7" w:rsidRPr="00805E3A">
        <w:rPr>
          <w:rFonts w:cs="Times New Roman"/>
        </w:rPr>
        <w:t xml:space="preserve"> (</w:t>
      </w:r>
      <w:r w:rsidR="003C3476">
        <w:rPr>
          <w:rFonts w:cs="Times New Roman"/>
        </w:rPr>
        <w:t xml:space="preserve">Testo unico bancario - </w:t>
      </w:r>
      <w:r w:rsidR="008746FB">
        <w:rPr>
          <w:rFonts w:cs="Times New Roman"/>
        </w:rPr>
        <w:t>c.d.</w:t>
      </w:r>
      <w:r w:rsidR="00752DE7" w:rsidRPr="00805E3A">
        <w:rPr>
          <w:rFonts w:cs="Times New Roman"/>
        </w:rPr>
        <w:t xml:space="preserve"> T.U.B.)</w:t>
      </w:r>
      <w:r w:rsidR="00B71395">
        <w:rPr>
          <w:rStyle w:val="Rimandonotaapidipagina"/>
          <w:rFonts w:cs="Times New Roman"/>
        </w:rPr>
        <w:footnoteReference w:id="76"/>
      </w:r>
      <w:r w:rsidR="00752DE7" w:rsidRPr="00805E3A">
        <w:rPr>
          <w:rFonts w:cs="Times New Roman"/>
        </w:rPr>
        <w:t>;</w:t>
      </w:r>
    </w:p>
    <w:p w14:paraId="5CC21941" w14:textId="77777777" w:rsidR="00133567" w:rsidRDefault="005A3BAA" w:rsidP="0074459A">
      <w:pPr>
        <w:pStyle w:val="Paragrafoelenco"/>
        <w:numPr>
          <w:ilvl w:val="0"/>
          <w:numId w:val="13"/>
        </w:numPr>
        <w:spacing w:before="100" w:beforeAutospacing="1" w:line="276" w:lineRule="auto"/>
        <w:rPr>
          <w:rFonts w:cs="Times New Roman"/>
        </w:rPr>
      </w:pPr>
      <w:r w:rsidRPr="00805E3A">
        <w:rPr>
          <w:rFonts w:cs="Times New Roman"/>
        </w:rPr>
        <w:t>l’articolo</w:t>
      </w:r>
      <w:r w:rsidR="00D75B3B" w:rsidRPr="00805E3A">
        <w:rPr>
          <w:rFonts w:cs="Times New Roman"/>
        </w:rPr>
        <w:t xml:space="preserve"> 5 del r.d.l. 30 ottobre 1930,</w:t>
      </w:r>
      <w:r w:rsidR="00B71395">
        <w:rPr>
          <w:rFonts w:cs="Times New Roman"/>
        </w:rPr>
        <w:t xml:space="preserve"> n. 1459,</w:t>
      </w:r>
      <w:r w:rsidR="00D75B3B" w:rsidRPr="00805E3A">
        <w:rPr>
          <w:rFonts w:cs="Times New Roman"/>
        </w:rPr>
        <w:t xml:space="preserve"> convertito con la legge</w:t>
      </w:r>
      <w:r w:rsidR="00054DC2" w:rsidRPr="00805E3A">
        <w:rPr>
          <w:rFonts w:cs="Times New Roman"/>
        </w:rPr>
        <w:t xml:space="preserve"> 4 giugno 1931, n. 660, sostituito poi dall’articolo</w:t>
      </w:r>
      <w:r w:rsidRPr="00805E3A">
        <w:rPr>
          <w:rFonts w:cs="Times New Roman"/>
        </w:rPr>
        <w:t xml:space="preserve"> 2628 c.c.</w:t>
      </w:r>
      <w:r w:rsidR="00B71395">
        <w:rPr>
          <w:rStyle w:val="Rimandonotaapidipagina"/>
          <w:rFonts w:cs="Times New Roman"/>
        </w:rPr>
        <w:footnoteReference w:id="77"/>
      </w:r>
      <w:r w:rsidR="00054DC2" w:rsidRPr="00805E3A">
        <w:rPr>
          <w:rFonts w:cs="Times New Roman"/>
        </w:rPr>
        <w:t>,</w:t>
      </w:r>
      <w:r w:rsidRPr="00805E3A">
        <w:rPr>
          <w:rFonts w:cs="Times New Roman"/>
        </w:rPr>
        <w:t xml:space="preserve"> aggiunse la forma </w:t>
      </w:r>
      <w:r w:rsidR="00751A3F" w:rsidRPr="00805E3A">
        <w:rPr>
          <w:rFonts w:cs="Times New Roman"/>
        </w:rPr>
        <w:t>speciale</w:t>
      </w:r>
      <w:r w:rsidRPr="00805E3A">
        <w:rPr>
          <w:rFonts w:cs="Times New Roman"/>
        </w:rPr>
        <w:t xml:space="preserve"> di aggiotaggio societario quale reato proprio di amministratori, direttori generali, liquidatori e sindaci di società</w:t>
      </w:r>
      <w:r w:rsidR="001C29B7">
        <w:rPr>
          <w:rFonts w:cs="Times New Roman"/>
        </w:rPr>
        <w:t xml:space="preserve">. In vigenza della </w:t>
      </w:r>
      <w:r w:rsidR="001C29B7" w:rsidRPr="00805E3A">
        <w:rPr>
          <w:rFonts w:cs="Times New Roman"/>
        </w:rPr>
        <w:t>l. 17 maggio 1991, n. 157</w:t>
      </w:r>
      <w:r w:rsidR="001C29B7">
        <w:rPr>
          <w:rFonts w:cs="Times New Roman"/>
        </w:rPr>
        <w:t xml:space="preserve"> si sostenne la tesi dell’abrogazione tacita</w:t>
      </w:r>
      <w:r w:rsidR="008746FB">
        <w:rPr>
          <w:rFonts w:cs="Times New Roman"/>
        </w:rPr>
        <w:t xml:space="preserve"> di tale norma</w:t>
      </w:r>
      <w:r w:rsidR="001C29B7">
        <w:rPr>
          <w:rStyle w:val="Rimandonotaapidipagina"/>
          <w:rFonts w:cs="Times New Roman"/>
          <w:color w:val="000000"/>
        </w:rPr>
        <w:footnoteReference w:id="78"/>
      </w:r>
      <w:r w:rsidR="001C29B7">
        <w:rPr>
          <w:rFonts w:cs="Times New Roman"/>
        </w:rPr>
        <w:t xml:space="preserve">, ma le modifiche apportate dal c.d. </w:t>
      </w:r>
      <w:r w:rsidR="001C29B7" w:rsidRPr="00805E3A">
        <w:rPr>
          <w:rFonts w:cs="Times New Roman"/>
        </w:rPr>
        <w:t>d.lgs. 24 febbraio 1998, n. 58</w:t>
      </w:r>
      <w:r w:rsidR="008746FB">
        <w:rPr>
          <w:rFonts w:cs="Times New Roman"/>
        </w:rPr>
        <w:t xml:space="preserve"> hanno portato la dottrina a rivedere questa </w:t>
      </w:r>
      <w:r w:rsidR="001C29B7">
        <w:rPr>
          <w:rFonts w:cs="Times New Roman"/>
        </w:rPr>
        <w:t>posizione</w:t>
      </w:r>
      <w:r w:rsidR="001C29B7">
        <w:rPr>
          <w:rStyle w:val="Rimandonotaapidipagina"/>
          <w:rFonts w:cs="Times New Roman"/>
        </w:rPr>
        <w:footnoteReference w:id="79"/>
      </w:r>
      <w:r w:rsidRPr="00805E3A">
        <w:rPr>
          <w:rFonts w:cs="Times New Roman"/>
        </w:rPr>
        <w:t>;</w:t>
      </w:r>
      <w:r w:rsidR="0029214E" w:rsidRPr="00805E3A">
        <w:rPr>
          <w:rFonts w:cs="Times New Roman"/>
        </w:rPr>
        <w:t xml:space="preserve"> </w:t>
      </w:r>
    </w:p>
    <w:p w14:paraId="1D4FC914" w14:textId="77777777" w:rsidR="009C0176" w:rsidRPr="002F10A2" w:rsidRDefault="00752DE7" w:rsidP="0074459A">
      <w:pPr>
        <w:pStyle w:val="Paragrafoelenco"/>
        <w:numPr>
          <w:ilvl w:val="0"/>
          <w:numId w:val="13"/>
        </w:numPr>
        <w:spacing w:before="100" w:beforeAutospacing="1" w:line="276" w:lineRule="auto"/>
        <w:rPr>
          <w:rFonts w:cs="Times New Roman"/>
        </w:rPr>
      </w:pPr>
      <w:r w:rsidRPr="00805E3A">
        <w:rPr>
          <w:rFonts w:cs="Times New Roman"/>
        </w:rPr>
        <w:t>l’articolo 5 della l. 17 maggio 1991, n. 157 disciplinava l’aggiotaggio finanziario. La disciplina fu trasposta</w:t>
      </w:r>
      <w:r w:rsidR="0029214E" w:rsidRPr="00805E3A">
        <w:rPr>
          <w:rFonts w:cs="Times New Roman"/>
        </w:rPr>
        <w:t>, con rilevanti modifiche,</w:t>
      </w:r>
      <w:r w:rsidR="00133567" w:rsidRPr="00805E3A">
        <w:rPr>
          <w:rFonts w:cs="Times New Roman"/>
        </w:rPr>
        <w:t xml:space="preserve"> nell’articolo 181 del d.</w:t>
      </w:r>
      <w:r w:rsidRPr="00805E3A">
        <w:rPr>
          <w:rFonts w:cs="Times New Roman"/>
        </w:rPr>
        <w:t>lgs. 24 febbraio 1998, n. 58 (</w:t>
      </w:r>
      <w:r w:rsidR="001C29B7">
        <w:rPr>
          <w:rFonts w:cs="Times New Roman"/>
        </w:rPr>
        <w:t>c.d.</w:t>
      </w:r>
      <w:r w:rsidRPr="00805E3A">
        <w:rPr>
          <w:rFonts w:cs="Times New Roman"/>
        </w:rPr>
        <w:t xml:space="preserve"> T.U.F. o decreto Draghi)</w:t>
      </w:r>
      <w:r w:rsidR="0029214E" w:rsidRPr="00805E3A">
        <w:rPr>
          <w:rFonts w:cs="Times New Roman"/>
        </w:rPr>
        <w:t>.</w:t>
      </w:r>
    </w:p>
    <w:p w14:paraId="18E1BE6A" w14:textId="77777777" w:rsidR="00A00953" w:rsidRPr="00805E3A" w:rsidRDefault="00D75D47" w:rsidP="0074459A">
      <w:pPr>
        <w:spacing w:before="100" w:beforeAutospacing="1" w:line="276" w:lineRule="auto"/>
        <w:ind w:firstLine="454"/>
        <w:rPr>
          <w:rFonts w:cs="Times New Roman"/>
        </w:rPr>
      </w:pPr>
      <w:r>
        <w:rPr>
          <w:rFonts w:cs="Times New Roman"/>
        </w:rPr>
        <w:t>L’esistenza di un t</w:t>
      </w:r>
      <w:r w:rsidR="00603672">
        <w:rPr>
          <w:rFonts w:cs="Times New Roman"/>
        </w:rPr>
        <w:t>ale coacervo di norme era stata</w:t>
      </w:r>
      <w:r w:rsidR="009C0176" w:rsidRPr="00805E3A">
        <w:rPr>
          <w:rFonts w:cs="Times New Roman"/>
        </w:rPr>
        <w:t xml:space="preserve"> fortemente c</w:t>
      </w:r>
      <w:r w:rsidR="00603672">
        <w:rPr>
          <w:rFonts w:cs="Times New Roman"/>
        </w:rPr>
        <w:t>riticata</w:t>
      </w:r>
      <w:r w:rsidR="006134AD">
        <w:rPr>
          <w:rFonts w:cs="Times New Roman"/>
        </w:rPr>
        <w:t xml:space="preserve"> dalla dottrina, che </w:t>
      </w:r>
      <w:r w:rsidR="009C0176" w:rsidRPr="00805E3A">
        <w:rPr>
          <w:rFonts w:cs="Times New Roman"/>
        </w:rPr>
        <w:t>denunciava la</w:t>
      </w:r>
      <w:r>
        <w:rPr>
          <w:rFonts w:cs="Times New Roman"/>
        </w:rPr>
        <w:t xml:space="preserve"> loro</w:t>
      </w:r>
      <w:r w:rsidR="009C0176" w:rsidRPr="00805E3A">
        <w:rPr>
          <w:rFonts w:cs="Times New Roman"/>
        </w:rPr>
        <w:t xml:space="preserve"> scarsa sistematicità e le difficoltà interpretative</w:t>
      </w:r>
      <w:r w:rsidR="008115D7">
        <w:rPr>
          <w:rFonts w:cs="Times New Roman"/>
        </w:rPr>
        <w:t>,</w:t>
      </w:r>
      <w:r w:rsidR="002C3784" w:rsidRPr="00805E3A">
        <w:rPr>
          <w:rFonts w:cs="Times New Roman"/>
        </w:rPr>
        <w:t xml:space="preserve"> legate soprattutto alla normativa applicabile e alla concorrenza tra le fattispecie</w:t>
      </w:r>
      <w:r w:rsidR="00FF5325" w:rsidRPr="00805E3A">
        <w:rPr>
          <w:rStyle w:val="Rimandonotaapidipagina"/>
          <w:rFonts w:cs="Times New Roman"/>
        </w:rPr>
        <w:footnoteReference w:id="80"/>
      </w:r>
      <w:r w:rsidR="002C3784" w:rsidRPr="00805E3A">
        <w:rPr>
          <w:rFonts w:cs="Times New Roman"/>
        </w:rPr>
        <w:t>.</w:t>
      </w:r>
      <w:r w:rsidR="009C0176" w:rsidRPr="00805E3A">
        <w:rPr>
          <w:rFonts w:cs="Times New Roman"/>
        </w:rPr>
        <w:t xml:space="preserve"> </w:t>
      </w:r>
      <w:r w:rsidR="00A67E40" w:rsidRPr="00805E3A">
        <w:rPr>
          <w:rFonts w:cs="Times New Roman"/>
        </w:rPr>
        <w:t>Questa istanz</w:t>
      </w:r>
      <w:r w:rsidR="00A00953" w:rsidRPr="00805E3A">
        <w:rPr>
          <w:rFonts w:cs="Times New Roman"/>
        </w:rPr>
        <w:t xml:space="preserve">a fu </w:t>
      </w:r>
      <w:r w:rsidR="008746FB">
        <w:rPr>
          <w:rFonts w:cs="Times New Roman"/>
        </w:rPr>
        <w:t>in un primo momento</w:t>
      </w:r>
      <w:r w:rsidR="00A00953" w:rsidRPr="00805E3A">
        <w:rPr>
          <w:rFonts w:cs="Times New Roman"/>
        </w:rPr>
        <w:t xml:space="preserve"> recepita dal p</w:t>
      </w:r>
      <w:r w:rsidR="00A67E40" w:rsidRPr="00805E3A">
        <w:rPr>
          <w:rFonts w:cs="Times New Roman"/>
        </w:rPr>
        <w:t>rogetto di legge presentato dalla Commissione Pagliaro nell’ambito del disegno di legge delega per la riforma del codice penale.</w:t>
      </w:r>
    </w:p>
    <w:p w14:paraId="27529A30" w14:textId="1CEF32DE" w:rsidR="008115D7" w:rsidRDefault="00F973D1" w:rsidP="0074459A">
      <w:pPr>
        <w:spacing w:before="100" w:beforeAutospacing="1" w:line="276" w:lineRule="auto"/>
        <w:ind w:firstLine="454"/>
        <w:rPr>
          <w:rFonts w:cs="Times New Roman"/>
        </w:rPr>
      </w:pPr>
      <w:r w:rsidRPr="00805E3A">
        <w:rPr>
          <w:rFonts w:cs="Times New Roman"/>
        </w:rPr>
        <w:t>Sulla scia del lavoro della Commissione Mirone per la riforma dei reati societari, vi fu un fiorire d</w:t>
      </w:r>
      <w:r w:rsidR="008746FB">
        <w:rPr>
          <w:rFonts w:cs="Times New Roman"/>
        </w:rPr>
        <w:t>i proposte</w:t>
      </w:r>
      <w:r w:rsidR="006134AD">
        <w:rPr>
          <w:rFonts w:cs="Times New Roman"/>
        </w:rPr>
        <w:t>,</w:t>
      </w:r>
      <w:r w:rsidR="008746FB">
        <w:rPr>
          <w:rFonts w:cs="Times New Roman"/>
        </w:rPr>
        <w:t xml:space="preserve"> che da ultimo diede</w:t>
      </w:r>
      <w:r w:rsidRPr="00805E3A">
        <w:rPr>
          <w:rFonts w:cs="Times New Roman"/>
        </w:rPr>
        <w:t xml:space="preserve"> luogo al nuovo articolo 2637</w:t>
      </w:r>
      <w:r w:rsidR="008115D7">
        <w:rPr>
          <w:rFonts w:cs="Times New Roman"/>
        </w:rPr>
        <w:t xml:space="preserve"> c.c.</w:t>
      </w:r>
      <w:r w:rsidR="008746FB">
        <w:rPr>
          <w:rStyle w:val="Rimandonotaapidipagina"/>
          <w:rFonts w:cs="Times New Roman"/>
        </w:rPr>
        <w:footnoteReference w:id="81"/>
      </w:r>
      <w:r w:rsidR="00CA3BDA">
        <w:rPr>
          <w:rFonts w:cs="Times New Roman"/>
        </w:rPr>
        <w:t>.</w:t>
      </w:r>
    </w:p>
    <w:p w14:paraId="26F1E753" w14:textId="77777777" w:rsidR="001353BC" w:rsidRPr="00805E3A" w:rsidRDefault="009C0176" w:rsidP="0074459A">
      <w:pPr>
        <w:spacing w:before="100" w:beforeAutospacing="1" w:line="276" w:lineRule="auto"/>
        <w:ind w:firstLine="454"/>
        <w:rPr>
          <w:rFonts w:cs="Times New Roman"/>
        </w:rPr>
      </w:pPr>
      <w:r w:rsidRPr="00805E3A">
        <w:rPr>
          <w:rFonts w:cs="Times New Roman"/>
        </w:rPr>
        <w:t>Sen</w:t>
      </w:r>
      <w:r w:rsidR="008746FB">
        <w:rPr>
          <w:rFonts w:cs="Times New Roman"/>
        </w:rPr>
        <w:t>n</w:t>
      </w:r>
      <w:r w:rsidRPr="00805E3A">
        <w:rPr>
          <w:rFonts w:cs="Times New Roman"/>
        </w:rPr>
        <w:t>on</w:t>
      </w:r>
      <w:r w:rsidR="002C3784" w:rsidRPr="00805E3A">
        <w:rPr>
          <w:rFonts w:cs="Times New Roman"/>
        </w:rPr>
        <w:t xml:space="preserve">ché la riforma dei reati societari prevista dal d.lgs. dell’11 aprile 2002, </w:t>
      </w:r>
      <w:r w:rsidR="00F973D1" w:rsidRPr="00805E3A">
        <w:rPr>
          <w:rFonts w:cs="Times New Roman"/>
        </w:rPr>
        <w:t>se da un lato</w:t>
      </w:r>
      <w:r w:rsidR="002C3784" w:rsidRPr="00805E3A">
        <w:rPr>
          <w:rFonts w:cs="Times New Roman"/>
        </w:rPr>
        <w:t xml:space="preserve"> riunì le diverse fattispecie di aggiotaggio bancario, </w:t>
      </w:r>
      <w:r w:rsidR="00F973D1" w:rsidRPr="00805E3A">
        <w:rPr>
          <w:rFonts w:cs="Times New Roman"/>
        </w:rPr>
        <w:t xml:space="preserve">societario e finanziario sotto </w:t>
      </w:r>
      <w:r w:rsidR="008746FB">
        <w:rPr>
          <w:rFonts w:cs="Times New Roman"/>
        </w:rPr>
        <w:t>un</w:t>
      </w:r>
      <w:r w:rsidR="00F973D1" w:rsidRPr="00805E3A">
        <w:rPr>
          <w:rFonts w:cs="Times New Roman"/>
        </w:rPr>
        <w:t xml:space="preserve"> </w:t>
      </w:r>
      <w:r w:rsidR="002C3784" w:rsidRPr="00805E3A">
        <w:rPr>
          <w:rFonts w:cs="Times New Roman"/>
        </w:rPr>
        <w:t>unico articolo</w:t>
      </w:r>
      <w:r w:rsidR="00F973D1" w:rsidRPr="00805E3A">
        <w:rPr>
          <w:rFonts w:cs="Times New Roman"/>
        </w:rPr>
        <w:t>,</w:t>
      </w:r>
      <w:r w:rsidR="002C3784" w:rsidRPr="00805E3A">
        <w:rPr>
          <w:rFonts w:cs="Times New Roman"/>
        </w:rPr>
        <w:t xml:space="preserve"> con lo scopo anche di rispondere alle critiche sollevate in dottrina, </w:t>
      </w:r>
      <w:r w:rsidR="00603672">
        <w:rPr>
          <w:rFonts w:cs="Times New Roman"/>
        </w:rPr>
        <w:t xml:space="preserve">ne </w:t>
      </w:r>
      <w:r w:rsidR="002C3784" w:rsidRPr="00805E3A">
        <w:rPr>
          <w:rFonts w:cs="Times New Roman"/>
        </w:rPr>
        <w:t xml:space="preserve">disattese </w:t>
      </w:r>
      <w:r w:rsidR="00603672">
        <w:rPr>
          <w:rFonts w:cs="Times New Roman"/>
        </w:rPr>
        <w:t>le</w:t>
      </w:r>
      <w:r w:rsidR="002C3784" w:rsidRPr="00805E3A">
        <w:rPr>
          <w:rFonts w:cs="Times New Roman"/>
        </w:rPr>
        <w:t xml:space="preserve"> </w:t>
      </w:r>
      <w:r w:rsidR="00603672">
        <w:rPr>
          <w:rFonts w:cs="Times New Roman"/>
        </w:rPr>
        <w:t>aspettative</w:t>
      </w:r>
      <w:r w:rsidR="002C3784" w:rsidRPr="00805E3A">
        <w:rPr>
          <w:rFonts w:cs="Times New Roman"/>
        </w:rPr>
        <w:t>. Anzi, un’attenta analisi d</w:t>
      </w:r>
      <w:r w:rsidR="00603672">
        <w:rPr>
          <w:rFonts w:cs="Times New Roman"/>
        </w:rPr>
        <w:t>ell’art. 2637 c.c.</w:t>
      </w:r>
      <w:r w:rsidR="002C3784" w:rsidRPr="00805E3A">
        <w:rPr>
          <w:rFonts w:cs="Times New Roman"/>
        </w:rPr>
        <w:t xml:space="preserve"> </w:t>
      </w:r>
      <w:r w:rsidR="00CA3BDA">
        <w:rPr>
          <w:rFonts w:cs="Times New Roman"/>
        </w:rPr>
        <w:t xml:space="preserve">mette in luce </w:t>
      </w:r>
      <w:r w:rsidRPr="00805E3A">
        <w:rPr>
          <w:rFonts w:cs="Times New Roman"/>
        </w:rPr>
        <w:t>come</w:t>
      </w:r>
      <w:r w:rsidR="009F5292" w:rsidRPr="00805E3A">
        <w:rPr>
          <w:rFonts w:cs="Times New Roman"/>
        </w:rPr>
        <w:t xml:space="preserve"> esso </w:t>
      </w:r>
      <w:r w:rsidR="00603672">
        <w:rPr>
          <w:rFonts w:cs="Times New Roman"/>
        </w:rPr>
        <w:t>fosse</w:t>
      </w:r>
      <w:r w:rsidRPr="00805E3A">
        <w:rPr>
          <w:rFonts w:cs="Times New Roman"/>
        </w:rPr>
        <w:t xml:space="preserve"> una mera fusione d</w:t>
      </w:r>
      <w:r w:rsidR="009F5292" w:rsidRPr="00805E3A">
        <w:rPr>
          <w:rFonts w:cs="Times New Roman"/>
        </w:rPr>
        <w:t xml:space="preserve">elle precedenti </w:t>
      </w:r>
      <w:r w:rsidRPr="00805E3A">
        <w:rPr>
          <w:rFonts w:cs="Times New Roman"/>
        </w:rPr>
        <w:t>disposizioni di legge</w:t>
      </w:r>
      <w:r w:rsidR="009F5292" w:rsidRPr="00805E3A">
        <w:rPr>
          <w:rFonts w:cs="Times New Roman"/>
        </w:rPr>
        <w:t xml:space="preserve">, </w:t>
      </w:r>
      <w:r w:rsidR="00D75D47">
        <w:rPr>
          <w:rFonts w:cs="Times New Roman"/>
        </w:rPr>
        <w:t>che lasciò</w:t>
      </w:r>
      <w:r w:rsidRPr="00805E3A">
        <w:rPr>
          <w:rFonts w:cs="Times New Roman"/>
        </w:rPr>
        <w:t xml:space="preserve"> irrisolti molti dei problemi</w:t>
      </w:r>
      <w:r w:rsidR="00A00953" w:rsidRPr="00805E3A">
        <w:rPr>
          <w:rFonts w:cs="Times New Roman"/>
        </w:rPr>
        <w:t xml:space="preserve"> applicativi</w:t>
      </w:r>
      <w:r w:rsidRPr="00805E3A">
        <w:rPr>
          <w:rFonts w:cs="Times New Roman"/>
        </w:rPr>
        <w:t xml:space="preserve"> sollevati a suo tempo dalla dottrina</w:t>
      </w:r>
      <w:r w:rsidR="00E1554A" w:rsidRPr="00805E3A">
        <w:rPr>
          <w:rFonts w:cs="Times New Roman"/>
        </w:rPr>
        <w:t>,</w:t>
      </w:r>
      <w:r w:rsidR="009F5292" w:rsidRPr="00805E3A">
        <w:rPr>
          <w:rFonts w:cs="Times New Roman"/>
        </w:rPr>
        <w:t xml:space="preserve"> </w:t>
      </w:r>
      <w:r w:rsidR="00D75D47">
        <w:rPr>
          <w:rFonts w:cs="Times New Roman"/>
        </w:rPr>
        <w:t>e creò addirittura</w:t>
      </w:r>
      <w:r w:rsidR="008746FB">
        <w:rPr>
          <w:rFonts w:cs="Times New Roman"/>
        </w:rPr>
        <w:t xml:space="preserve"> nuovi </w:t>
      </w:r>
      <w:r w:rsidR="00E1554A" w:rsidRPr="00805E3A">
        <w:rPr>
          <w:rFonts w:cs="Times New Roman"/>
        </w:rPr>
        <w:t>fronti di incertezza</w:t>
      </w:r>
      <w:r w:rsidR="00E1554A" w:rsidRPr="00805E3A">
        <w:rPr>
          <w:rStyle w:val="Rimandonotaapidipagina"/>
          <w:rFonts w:cs="Times New Roman"/>
        </w:rPr>
        <w:footnoteReference w:id="82"/>
      </w:r>
      <w:r w:rsidRPr="00805E3A">
        <w:rPr>
          <w:rFonts w:cs="Times New Roman"/>
        </w:rPr>
        <w:t>.</w:t>
      </w:r>
    </w:p>
    <w:p w14:paraId="3633A2A8" w14:textId="77777777" w:rsidR="00D75D47" w:rsidRDefault="001353BC" w:rsidP="0074459A">
      <w:pPr>
        <w:spacing w:before="100" w:beforeAutospacing="1" w:line="276" w:lineRule="auto"/>
        <w:ind w:firstLine="454"/>
        <w:rPr>
          <w:rFonts w:cs="Times New Roman"/>
        </w:rPr>
      </w:pPr>
      <w:r w:rsidRPr="00805E3A">
        <w:rPr>
          <w:rFonts w:cs="Times New Roman"/>
        </w:rPr>
        <w:t xml:space="preserve">Le critiche furono </w:t>
      </w:r>
      <w:r w:rsidR="004F3CAA" w:rsidRPr="00805E3A">
        <w:rPr>
          <w:rFonts w:cs="Times New Roman"/>
        </w:rPr>
        <w:t>principalmente</w:t>
      </w:r>
      <w:r w:rsidR="00D75D47">
        <w:rPr>
          <w:rFonts w:cs="Times New Roman"/>
        </w:rPr>
        <w:t xml:space="preserve"> di ordine sistematico.</w:t>
      </w:r>
      <w:r w:rsidR="00164A81">
        <w:rPr>
          <w:rFonts w:cs="Times New Roman"/>
        </w:rPr>
        <w:t xml:space="preserve"> </w:t>
      </w:r>
      <w:r w:rsidRPr="00805E3A">
        <w:rPr>
          <w:rFonts w:cs="Times New Roman"/>
        </w:rPr>
        <w:t>Si contestava infatti l’opportunità di inserire la fattispecie di aggiotaggio nell’ambito dei reati societari</w:t>
      </w:r>
      <w:r w:rsidR="000501BF" w:rsidRPr="00805E3A">
        <w:rPr>
          <w:rFonts w:cs="Times New Roman"/>
        </w:rPr>
        <w:t>. Riportata</w:t>
      </w:r>
      <w:r w:rsidR="00FC0670" w:rsidRPr="00805E3A">
        <w:rPr>
          <w:rFonts w:cs="Times New Roman"/>
        </w:rPr>
        <w:t xml:space="preserve"> ad unità l’aggiotaggio, ormai non più solo societario, </w:t>
      </w:r>
      <w:r w:rsidR="000501BF" w:rsidRPr="00805E3A">
        <w:rPr>
          <w:rFonts w:cs="Times New Roman"/>
        </w:rPr>
        <w:t>e previst</w:t>
      </w:r>
      <w:r w:rsidR="00FC0670" w:rsidRPr="00805E3A">
        <w:rPr>
          <w:rFonts w:cs="Times New Roman"/>
        </w:rPr>
        <w:t>o</w:t>
      </w:r>
      <w:r w:rsidR="000501BF" w:rsidRPr="00805E3A">
        <w:rPr>
          <w:rFonts w:cs="Times New Roman"/>
        </w:rPr>
        <w:t xml:space="preserve"> come reato comune, la sua logica collocazione avrebbe dovuto essere il co</w:t>
      </w:r>
      <w:r w:rsidR="000501BF">
        <w:rPr>
          <w:rFonts w:cs="Times New Roman"/>
        </w:rPr>
        <w:t>dice penale</w:t>
      </w:r>
      <w:r w:rsidR="00FC0670">
        <w:rPr>
          <w:rFonts w:cs="Times New Roman"/>
        </w:rPr>
        <w:t xml:space="preserve"> e non certo il capo IV del titolo XI del c</w:t>
      </w:r>
      <w:r w:rsidR="00D75D47">
        <w:rPr>
          <w:rFonts w:cs="Times New Roman"/>
        </w:rPr>
        <w:t>odice civile.</w:t>
      </w:r>
    </w:p>
    <w:p w14:paraId="75F3DA93" w14:textId="3507777E" w:rsidR="009C0176" w:rsidRDefault="00D75D47" w:rsidP="0074459A">
      <w:pPr>
        <w:spacing w:before="100" w:beforeAutospacing="1" w:line="276" w:lineRule="auto"/>
        <w:ind w:firstLine="454"/>
        <w:rPr>
          <w:rFonts w:cs="Times New Roman"/>
        </w:rPr>
      </w:pPr>
      <w:r>
        <w:rPr>
          <w:rFonts w:cs="Times New Roman"/>
        </w:rPr>
        <w:t>L’intitolazione del</w:t>
      </w:r>
      <w:r w:rsidR="00FC0670">
        <w:rPr>
          <w:rFonts w:cs="Times New Roman"/>
        </w:rPr>
        <w:t xml:space="preserve"> capo </w:t>
      </w:r>
      <w:r w:rsidR="00787258">
        <w:rPr>
          <w:rFonts w:cs="Times New Roman"/>
          <w:i/>
        </w:rPr>
        <w:t>«</w:t>
      </w:r>
      <w:r w:rsidR="00FC0670" w:rsidRPr="00B46D1A">
        <w:rPr>
          <w:rFonts w:cs="Times New Roman"/>
          <w:i/>
        </w:rPr>
        <w:t>Degli altri illeciti, delle circostanze attenuanti e delle misure di sicurezza patrimoniali</w:t>
      </w:r>
      <w:r w:rsidR="00787258">
        <w:rPr>
          <w:rFonts w:cs="Times New Roman"/>
          <w:i/>
        </w:rPr>
        <w:t>»</w:t>
      </w:r>
      <w:r w:rsidR="00FC0670">
        <w:rPr>
          <w:rFonts w:cs="Times New Roman"/>
        </w:rPr>
        <w:t xml:space="preserve"> ne rileva</w:t>
      </w:r>
      <w:r>
        <w:rPr>
          <w:rFonts w:cs="Times New Roman"/>
        </w:rPr>
        <w:t xml:space="preserve"> poi</w:t>
      </w:r>
      <w:r w:rsidR="00FC0670">
        <w:rPr>
          <w:rFonts w:cs="Times New Roman"/>
        </w:rPr>
        <w:t xml:space="preserve"> la natura residuale e quindi l’inidoneità ad accogliere un reato</w:t>
      </w:r>
      <w:r>
        <w:rPr>
          <w:rFonts w:cs="Times New Roman"/>
        </w:rPr>
        <w:t xml:space="preserve"> che dovrebbe essere un</w:t>
      </w:r>
      <w:r w:rsidR="00FC0670">
        <w:rPr>
          <w:rFonts w:cs="Times New Roman"/>
        </w:rPr>
        <w:t xml:space="preserve"> punto di riferimento </w:t>
      </w:r>
      <w:r w:rsidR="005D2769">
        <w:rPr>
          <w:rFonts w:cs="Times New Roman"/>
        </w:rPr>
        <w:t>nella disciplina</w:t>
      </w:r>
      <w:r w:rsidR="00FC0670">
        <w:rPr>
          <w:rFonts w:cs="Times New Roman"/>
        </w:rPr>
        <w:t xml:space="preserve"> della concorrenza e dell’economia</w:t>
      </w:r>
      <w:r w:rsidR="00FC0670">
        <w:rPr>
          <w:rStyle w:val="Rimandonotaapidipagina"/>
          <w:rFonts w:cs="Times New Roman"/>
        </w:rPr>
        <w:footnoteReference w:id="83"/>
      </w:r>
      <w:r>
        <w:rPr>
          <w:rFonts w:cs="Times New Roman"/>
        </w:rPr>
        <w:t xml:space="preserve">. Altra critica fu che la norma </w:t>
      </w:r>
      <w:r w:rsidR="00D75B3B">
        <w:rPr>
          <w:rFonts w:cs="Times New Roman"/>
        </w:rPr>
        <w:t xml:space="preserve">espelleva dal d.lgs. 58/1998 una parte della sua disciplina sanzionatoria, </w:t>
      </w:r>
      <w:r>
        <w:rPr>
          <w:rFonts w:cs="Times New Roman"/>
        </w:rPr>
        <w:t>la quale</w:t>
      </w:r>
      <w:r w:rsidR="00D75B3B">
        <w:rPr>
          <w:rFonts w:cs="Times New Roman"/>
        </w:rPr>
        <w:t xml:space="preserve"> aveva una funzione di complementarietà con esso</w:t>
      </w:r>
      <w:r w:rsidR="00FC0670">
        <w:rPr>
          <w:rFonts w:cs="Times New Roman"/>
        </w:rPr>
        <w:t>.</w:t>
      </w:r>
    </w:p>
    <w:p w14:paraId="2715278C" w14:textId="7AA5DDDA" w:rsidR="00751A3F" w:rsidRDefault="00D75D47" w:rsidP="0074459A">
      <w:pPr>
        <w:spacing w:before="100" w:beforeAutospacing="1" w:line="276" w:lineRule="auto"/>
        <w:ind w:firstLine="454"/>
        <w:rPr>
          <w:rFonts w:cs="Times New Roman"/>
        </w:rPr>
      </w:pPr>
      <w:r>
        <w:rPr>
          <w:rFonts w:cs="Times New Roman"/>
        </w:rPr>
        <w:t>V</w:t>
      </w:r>
      <w:r w:rsidR="005429D3">
        <w:rPr>
          <w:rFonts w:cs="Times New Roman"/>
        </w:rPr>
        <w:t xml:space="preserve">i furono </w:t>
      </w:r>
      <w:r>
        <w:rPr>
          <w:rFonts w:cs="Times New Roman"/>
        </w:rPr>
        <w:t xml:space="preserve">inoltre </w:t>
      </w:r>
      <w:r w:rsidR="005429D3">
        <w:rPr>
          <w:rFonts w:cs="Times New Roman"/>
        </w:rPr>
        <w:t xml:space="preserve">interpretazioni divergenti su come configurare il rapporto tra gli articoli 501 del codice penale e 2637 del codice civile. </w:t>
      </w:r>
      <w:r w:rsidR="00105143">
        <w:rPr>
          <w:rFonts w:cs="Times New Roman"/>
        </w:rPr>
        <w:t xml:space="preserve">Alcuni autori infatti limitavano l’operatività dell’articolo 501 </w:t>
      </w:r>
      <w:r w:rsidR="00172675">
        <w:rPr>
          <w:rFonts w:cs="Times New Roman"/>
        </w:rPr>
        <w:t xml:space="preserve">c.p. </w:t>
      </w:r>
      <w:r w:rsidR="00105143">
        <w:rPr>
          <w:rFonts w:cs="Times New Roman"/>
        </w:rPr>
        <w:t xml:space="preserve">all’aggiotaggio su merci e delineavano il campo di applicazione dell’articolo 2637 c.c. agli </w:t>
      </w:r>
      <w:r w:rsidR="00787258">
        <w:rPr>
          <w:rFonts w:cs="Times New Roman"/>
          <w:i/>
        </w:rPr>
        <w:t>«</w:t>
      </w:r>
      <w:r w:rsidR="00105143" w:rsidRPr="00B46D1A">
        <w:rPr>
          <w:rFonts w:cs="Times New Roman"/>
          <w:i/>
        </w:rPr>
        <w:t>strumenti finanziari, quotati o non quotati</w:t>
      </w:r>
      <w:r w:rsidR="00787258">
        <w:rPr>
          <w:rFonts w:cs="Times New Roman"/>
          <w:i/>
        </w:rPr>
        <w:t>»</w:t>
      </w:r>
      <w:r w:rsidR="00105143">
        <w:rPr>
          <w:rStyle w:val="Rimandonotaapidipagina"/>
          <w:rFonts w:cs="Times New Roman"/>
        </w:rPr>
        <w:footnoteReference w:id="84"/>
      </w:r>
      <w:r w:rsidR="00105143">
        <w:rPr>
          <w:rFonts w:cs="Times New Roman"/>
        </w:rPr>
        <w:t xml:space="preserve">. Altri autori, al contrario, </w:t>
      </w:r>
      <w:r w:rsidR="00A95EC1">
        <w:rPr>
          <w:rFonts w:cs="Times New Roman"/>
        </w:rPr>
        <w:t>propend</w:t>
      </w:r>
      <w:r>
        <w:rPr>
          <w:rFonts w:cs="Times New Roman"/>
        </w:rPr>
        <w:t>evano</w:t>
      </w:r>
      <w:r w:rsidR="00A95EC1">
        <w:rPr>
          <w:rFonts w:cs="Times New Roman"/>
        </w:rPr>
        <w:t xml:space="preserve"> per il concorso tra norme a motivo della sussistenza </w:t>
      </w:r>
      <w:r w:rsidR="00264033">
        <w:rPr>
          <w:rFonts w:cs="Times New Roman"/>
        </w:rPr>
        <w:t>del diverso requisito del dolo specifico per il solo reato previsto dall’articolo 501 c.p.</w:t>
      </w:r>
      <w:r w:rsidR="00264033">
        <w:rPr>
          <w:rStyle w:val="Rimandonotaapidipagina"/>
          <w:rFonts w:cs="Times New Roman"/>
        </w:rPr>
        <w:footnoteReference w:id="85"/>
      </w:r>
      <w:r w:rsidR="00264033">
        <w:rPr>
          <w:rFonts w:cs="Times New Roman"/>
        </w:rPr>
        <w:t>.</w:t>
      </w:r>
    </w:p>
    <w:p w14:paraId="719B004C" w14:textId="6E01DC30" w:rsidR="00D76EB3" w:rsidRDefault="007C6FB1" w:rsidP="0074459A">
      <w:pPr>
        <w:spacing w:before="100" w:beforeAutospacing="1" w:line="276" w:lineRule="auto"/>
        <w:ind w:firstLine="454"/>
        <w:rPr>
          <w:rFonts w:cs="Times New Roman"/>
          <w:bCs/>
          <w:iCs/>
        </w:rPr>
      </w:pPr>
      <w:r>
        <w:rPr>
          <w:rFonts w:cs="Times New Roman"/>
        </w:rPr>
        <w:t xml:space="preserve">Quanto alle innovazioni introdotte dal nuovo </w:t>
      </w:r>
      <w:r w:rsidR="00603672">
        <w:rPr>
          <w:rFonts w:cs="Times New Roman"/>
        </w:rPr>
        <w:t>art. 2637 c.c.</w:t>
      </w:r>
      <w:r>
        <w:rPr>
          <w:rFonts w:cs="Times New Roman"/>
        </w:rPr>
        <w:t>, si deve segnalare, come già si accennava, che nonostante vi sia stata l’unificazione dei diversi reati sotto una sola fattispecie, le singole ipotesi delittuose si riproponevano qu</w:t>
      </w:r>
      <w:r w:rsidRPr="0071441D">
        <w:rPr>
          <w:rFonts w:cs="Times New Roman"/>
        </w:rPr>
        <w:t>ali eventi di pericolo. In particolare il legislatore aveva previsto</w:t>
      </w:r>
      <w:r>
        <w:rPr>
          <w:rFonts w:cs="Times New Roman"/>
        </w:rPr>
        <w:t xml:space="preserve">, </w:t>
      </w:r>
      <w:r w:rsidRPr="0071441D">
        <w:rPr>
          <w:rFonts w:cs="Times New Roman"/>
        </w:rPr>
        <w:t xml:space="preserve">e </w:t>
      </w:r>
      <w:r w:rsidR="005D2769">
        <w:rPr>
          <w:rFonts w:cs="Times New Roman"/>
        </w:rPr>
        <w:t>ancora</w:t>
      </w:r>
      <w:r w:rsidRPr="0071441D">
        <w:rPr>
          <w:rFonts w:cs="Times New Roman"/>
        </w:rPr>
        <w:t xml:space="preserve"> prevede</w:t>
      </w:r>
      <w:r>
        <w:rPr>
          <w:rFonts w:cs="Times New Roman"/>
        </w:rPr>
        <w:t>,</w:t>
      </w:r>
      <w:r w:rsidRPr="0071441D">
        <w:rPr>
          <w:rFonts w:cs="Times New Roman"/>
        </w:rPr>
        <w:t xml:space="preserve"> quale</w:t>
      </w:r>
      <w:r>
        <w:rPr>
          <w:rFonts w:cs="Times New Roman"/>
        </w:rPr>
        <w:t xml:space="preserve"> effetto tipico della condotta</w:t>
      </w:r>
      <w:r w:rsidRPr="0071441D">
        <w:rPr>
          <w:rFonts w:cs="Times New Roman"/>
        </w:rPr>
        <w:t xml:space="preserve"> che essa potesse </w:t>
      </w:r>
      <w:r w:rsidR="00787258">
        <w:rPr>
          <w:rFonts w:cs="Times New Roman"/>
        </w:rPr>
        <w:t>«</w:t>
      </w:r>
      <w:r w:rsidRPr="0071441D">
        <w:rPr>
          <w:rFonts w:cs="Times New Roman"/>
          <w:bCs/>
          <w:i/>
          <w:iCs/>
        </w:rPr>
        <w:t>incidere in modo significativo sull'affidamento che il pubblico ripone nella stabilità patrimonial</w:t>
      </w:r>
      <w:r w:rsidR="00883F72">
        <w:rPr>
          <w:rFonts w:cs="Times New Roman"/>
          <w:bCs/>
          <w:i/>
          <w:iCs/>
        </w:rPr>
        <w:t>e di banche o di gruppi bancari</w:t>
      </w:r>
      <w:r w:rsidR="00787258">
        <w:rPr>
          <w:rFonts w:cs="Times New Roman"/>
          <w:bCs/>
          <w:i/>
          <w:iCs/>
        </w:rPr>
        <w:t>»</w:t>
      </w:r>
      <w:r w:rsidRPr="0071441D">
        <w:rPr>
          <w:rFonts w:cs="Times New Roman"/>
          <w:bCs/>
          <w:i/>
          <w:iCs/>
        </w:rPr>
        <w:t>.</w:t>
      </w:r>
    </w:p>
    <w:p w14:paraId="626746AA" w14:textId="77777777" w:rsidR="007C6FB1" w:rsidRDefault="007C6FB1" w:rsidP="0074459A">
      <w:pPr>
        <w:spacing w:before="100" w:beforeAutospacing="1" w:line="276" w:lineRule="auto"/>
        <w:ind w:firstLine="454"/>
        <w:rPr>
          <w:rFonts w:cs="Times New Roman"/>
        </w:rPr>
      </w:pPr>
      <w:r>
        <w:rPr>
          <w:rFonts w:cs="Times New Roman"/>
          <w:bCs/>
          <w:iCs/>
        </w:rPr>
        <w:t>La riproposizione dell’aggiotaggio bancario in tale veste era inattuale e dunque criticabile.</w:t>
      </w:r>
      <w:r w:rsidR="00D76EB3">
        <w:rPr>
          <w:rFonts w:cs="Times New Roman"/>
        </w:rPr>
        <w:t xml:space="preserve"> </w:t>
      </w:r>
      <w:r w:rsidR="00D73E29">
        <w:rPr>
          <w:rFonts w:cs="Times New Roman"/>
        </w:rPr>
        <w:t>T</w:t>
      </w:r>
      <w:r>
        <w:rPr>
          <w:rFonts w:cs="Times New Roman"/>
        </w:rPr>
        <w:t xml:space="preserve">ale norma trovava origini </w:t>
      </w:r>
      <w:r w:rsidR="00CB104F">
        <w:rPr>
          <w:rFonts w:cs="Times New Roman"/>
        </w:rPr>
        <w:t>nel</w:t>
      </w:r>
      <w:r>
        <w:rPr>
          <w:rFonts w:cs="Times New Roman"/>
        </w:rPr>
        <w:t xml:space="preserve"> contesto economico fortemente regolamentato della legge bancaria</w:t>
      </w:r>
      <w:r w:rsidR="00D73E29">
        <w:rPr>
          <w:rFonts w:cs="Times New Roman"/>
        </w:rPr>
        <w:t xml:space="preserve"> del 1936</w:t>
      </w:r>
      <w:r>
        <w:rPr>
          <w:rFonts w:cs="Times New Roman"/>
        </w:rPr>
        <w:t xml:space="preserve">, </w:t>
      </w:r>
      <w:r w:rsidR="00D73E29">
        <w:rPr>
          <w:rFonts w:cs="Times New Roman"/>
        </w:rPr>
        <w:t>in cui molte ba</w:t>
      </w:r>
      <w:r w:rsidR="00CB104F">
        <w:rPr>
          <w:rFonts w:cs="Times New Roman"/>
        </w:rPr>
        <w:t>nche</w:t>
      </w:r>
      <w:r w:rsidR="00C90004">
        <w:rPr>
          <w:rFonts w:cs="Times New Roman"/>
        </w:rPr>
        <w:t>, considerate di interesse nazionale,</w:t>
      </w:r>
      <w:r w:rsidR="00CB104F">
        <w:rPr>
          <w:rFonts w:cs="Times New Roman"/>
        </w:rPr>
        <w:t xml:space="preserve"> erano a capitale pubblico</w:t>
      </w:r>
      <w:r w:rsidR="00D73E29">
        <w:rPr>
          <w:rFonts w:cs="Times New Roman"/>
        </w:rPr>
        <w:t>.</w:t>
      </w:r>
      <w:r>
        <w:rPr>
          <w:rFonts w:cs="Times New Roman"/>
        </w:rPr>
        <w:t xml:space="preserve"> </w:t>
      </w:r>
      <w:r w:rsidR="00C90004">
        <w:rPr>
          <w:rFonts w:cs="Times New Roman"/>
        </w:rPr>
        <w:t>Il quadro è cambiato</w:t>
      </w:r>
      <w:r w:rsidR="00C557C9">
        <w:rPr>
          <w:rFonts w:cs="Times New Roman"/>
        </w:rPr>
        <w:t xml:space="preserve"> quando, nel dopoguerra, </w:t>
      </w:r>
      <w:r w:rsidR="00317AA0">
        <w:rPr>
          <w:rFonts w:cs="Times New Roman"/>
        </w:rPr>
        <w:t>vennero introdotti</w:t>
      </w:r>
      <w:r w:rsidR="00C557C9">
        <w:rPr>
          <w:rFonts w:cs="Times New Roman"/>
        </w:rPr>
        <w:t xml:space="preserve"> progressivamente</w:t>
      </w:r>
      <w:r w:rsidR="00C90004">
        <w:rPr>
          <w:rFonts w:cs="Times New Roman"/>
        </w:rPr>
        <w:t xml:space="preserve"> </w:t>
      </w:r>
      <w:r>
        <w:rPr>
          <w:rFonts w:cs="Times New Roman"/>
        </w:rPr>
        <w:t xml:space="preserve">sistemi di garanzia </w:t>
      </w:r>
      <w:r w:rsidR="00C90004">
        <w:rPr>
          <w:rFonts w:cs="Times New Roman"/>
        </w:rPr>
        <w:t>per i</w:t>
      </w:r>
      <w:r>
        <w:rPr>
          <w:rFonts w:cs="Times New Roman"/>
        </w:rPr>
        <w:t xml:space="preserve"> depositi, la concorrenza tra gli istituti di credito comunitari e </w:t>
      </w:r>
      <w:r w:rsidR="00317AA0">
        <w:rPr>
          <w:rFonts w:cs="Times New Roman"/>
        </w:rPr>
        <w:t>l’assenza</w:t>
      </w:r>
      <w:r>
        <w:rPr>
          <w:rFonts w:cs="Times New Roman"/>
        </w:rPr>
        <w:t xml:space="preserve"> di barriere tra i settori bancario, assicurativo e finanziario</w:t>
      </w:r>
      <w:r w:rsidR="00C90004">
        <w:rPr>
          <w:rFonts w:cs="Times New Roman"/>
        </w:rPr>
        <w:t>.</w:t>
      </w:r>
      <w:r>
        <w:rPr>
          <w:rFonts w:cs="Times New Roman"/>
        </w:rPr>
        <w:t xml:space="preserve"> Il legislatore, </w:t>
      </w:r>
      <w:r w:rsidR="00C90004">
        <w:rPr>
          <w:rFonts w:cs="Times New Roman"/>
        </w:rPr>
        <w:t xml:space="preserve">con il </w:t>
      </w:r>
      <w:r>
        <w:rPr>
          <w:rFonts w:cs="Times New Roman"/>
        </w:rPr>
        <w:t>ripropo</w:t>
      </w:r>
      <w:r w:rsidR="00C90004">
        <w:rPr>
          <w:rFonts w:cs="Times New Roman"/>
        </w:rPr>
        <w:t>rre</w:t>
      </w:r>
      <w:r>
        <w:rPr>
          <w:rFonts w:cs="Times New Roman"/>
        </w:rPr>
        <w:t xml:space="preserve"> una norma disapplicata dalla giurisprudenza, ha dato nuova linfa all’incriminazione di condotte che rientravano già nella diffamazione di un’impresa privata o, quando ne fossero ricorsi i presupposti, in una delle</w:t>
      </w:r>
      <w:r w:rsidR="00317AA0">
        <w:rPr>
          <w:rFonts w:cs="Times New Roman"/>
        </w:rPr>
        <w:t xml:space="preserve"> altre</w:t>
      </w:r>
      <w:r>
        <w:rPr>
          <w:rFonts w:cs="Times New Roman"/>
        </w:rPr>
        <w:t xml:space="preserve"> fattispecie di aggiotaggio</w:t>
      </w:r>
      <w:r>
        <w:rPr>
          <w:rStyle w:val="Rimandonotaapidipagina"/>
          <w:rFonts w:cs="Times New Roman"/>
        </w:rPr>
        <w:footnoteReference w:id="86"/>
      </w:r>
      <w:r>
        <w:rPr>
          <w:rFonts w:cs="Times New Roman"/>
        </w:rPr>
        <w:t>.</w:t>
      </w:r>
    </w:p>
    <w:p w14:paraId="2F0EC6B1" w14:textId="77777777" w:rsidR="00BD67B1" w:rsidRDefault="00D75D47" w:rsidP="0074459A">
      <w:pPr>
        <w:spacing w:before="100" w:beforeAutospacing="1" w:line="276" w:lineRule="auto"/>
        <w:ind w:firstLine="454"/>
        <w:rPr>
          <w:rFonts w:cs="Times New Roman"/>
        </w:rPr>
      </w:pPr>
      <w:r>
        <w:rPr>
          <w:rFonts w:cs="Times New Roman"/>
        </w:rPr>
        <w:t>L’ultima</w:t>
      </w:r>
      <w:r w:rsidR="00A21A04">
        <w:rPr>
          <w:rFonts w:cs="Times New Roman"/>
        </w:rPr>
        <w:t xml:space="preserve"> critica che avrebbe potuto muoversi alla nuova disposizione è la sua programmatica precarietà, emergente dalla stessa relazione al d.lgs. 61/2002, la quale </w:t>
      </w:r>
      <w:r w:rsidR="005666B9">
        <w:rPr>
          <w:rFonts w:cs="Times New Roman"/>
        </w:rPr>
        <w:t xml:space="preserve">già </w:t>
      </w:r>
      <w:r w:rsidR="00A21A04">
        <w:rPr>
          <w:rFonts w:cs="Times New Roman"/>
        </w:rPr>
        <w:t xml:space="preserve">paventava la revisione della materia in seguito alla </w:t>
      </w:r>
      <w:r w:rsidR="00D343B3">
        <w:rPr>
          <w:rFonts w:cs="Times New Roman"/>
        </w:rPr>
        <w:t>Direttiva</w:t>
      </w:r>
      <w:r w:rsidR="005666B9">
        <w:rPr>
          <w:rFonts w:cs="Times New Roman"/>
        </w:rPr>
        <w:t xml:space="preserve"> </w:t>
      </w:r>
      <w:r w:rsidR="007569EB">
        <w:rPr>
          <w:rFonts w:cs="Times New Roman"/>
        </w:rPr>
        <w:t>2003/6/CE del 28 gennaio 2003.</w:t>
      </w:r>
    </w:p>
    <w:p w14:paraId="6633A391" w14:textId="77777777" w:rsidR="00164A81" w:rsidRPr="0071441D" w:rsidRDefault="00EF6EB0" w:rsidP="0074459A">
      <w:pPr>
        <w:spacing w:before="100" w:beforeAutospacing="1" w:line="276" w:lineRule="auto"/>
        <w:ind w:firstLine="454"/>
        <w:rPr>
          <w:rFonts w:cs="Times New Roman"/>
        </w:rPr>
      </w:pPr>
      <w:r>
        <w:rPr>
          <w:rFonts w:cs="Times New Roman"/>
        </w:rPr>
        <w:t>Altra innovazione di rilievo</w:t>
      </w:r>
      <w:r w:rsidR="001E1276">
        <w:rPr>
          <w:rFonts w:cs="Times New Roman"/>
        </w:rPr>
        <w:t>, a seguito della sostituzione della fattispecie p</w:t>
      </w:r>
      <w:r w:rsidR="007C6FB1">
        <w:rPr>
          <w:rFonts w:cs="Times New Roman"/>
        </w:rPr>
        <w:t>revista dalla precedente formulazione dell’art. 181 del d.lgs. 58/</w:t>
      </w:r>
      <w:r w:rsidR="001E1276" w:rsidRPr="001E1276">
        <w:rPr>
          <w:rFonts w:cs="Times New Roman"/>
        </w:rPr>
        <w:t>1998,</w:t>
      </w:r>
      <w:r w:rsidRPr="001E1276">
        <w:rPr>
          <w:rFonts w:cs="Times New Roman"/>
        </w:rPr>
        <w:t xml:space="preserve"> </w:t>
      </w:r>
      <w:r w:rsidR="007C6FB1">
        <w:rPr>
          <w:rFonts w:cs="Times New Roman"/>
        </w:rPr>
        <w:t>era</w:t>
      </w:r>
      <w:r w:rsidRPr="001E1276">
        <w:rPr>
          <w:rFonts w:cs="Times New Roman"/>
        </w:rPr>
        <w:t xml:space="preserve"> rappresentata dall’eliminazione del complesso sistema di ag</w:t>
      </w:r>
      <w:r w:rsidR="008B0AD2" w:rsidRPr="001E1276">
        <w:rPr>
          <w:rFonts w:cs="Times New Roman"/>
        </w:rPr>
        <w:t>g</w:t>
      </w:r>
      <w:r w:rsidRPr="001E1276">
        <w:rPr>
          <w:rFonts w:cs="Times New Roman"/>
        </w:rPr>
        <w:t>ravanti</w:t>
      </w:r>
      <w:r w:rsidR="008B0AD2" w:rsidRPr="001E1276">
        <w:rPr>
          <w:rFonts w:cs="Times New Roman"/>
        </w:rPr>
        <w:t xml:space="preserve"> che hanno caratterizzato</w:t>
      </w:r>
      <w:r w:rsidR="00EC239C">
        <w:rPr>
          <w:rFonts w:cs="Times New Roman"/>
        </w:rPr>
        <w:t xml:space="preserve"> le discipline finora esaminate:</w:t>
      </w:r>
      <w:r w:rsidR="008B0AD2" w:rsidRPr="001E1276">
        <w:rPr>
          <w:rFonts w:cs="Times New Roman"/>
        </w:rPr>
        <w:t xml:space="preserve"> il che ha portato indubbiamente </w:t>
      </w:r>
      <w:r w:rsidR="008B0AD2">
        <w:rPr>
          <w:rFonts w:cs="Times New Roman"/>
        </w:rPr>
        <w:t>ad una significativa semplificazione del</w:t>
      </w:r>
      <w:r w:rsidR="00E47C4A">
        <w:rPr>
          <w:rFonts w:cs="Times New Roman"/>
        </w:rPr>
        <w:t>la fattispecie</w:t>
      </w:r>
      <w:r w:rsidR="008B0AD2">
        <w:rPr>
          <w:rFonts w:cs="Times New Roman"/>
        </w:rPr>
        <w:t>.</w:t>
      </w:r>
    </w:p>
    <w:p w14:paraId="6616D960" w14:textId="77777777" w:rsidR="00AA69F1" w:rsidRDefault="008B0AD2" w:rsidP="0074459A">
      <w:pPr>
        <w:spacing w:before="100" w:beforeAutospacing="1" w:line="276" w:lineRule="auto"/>
        <w:ind w:firstLine="454"/>
        <w:rPr>
          <w:rFonts w:cs="Times New Roman"/>
        </w:rPr>
      </w:pPr>
      <w:r>
        <w:rPr>
          <w:rFonts w:cs="Times New Roman"/>
        </w:rPr>
        <w:t>Un</w:t>
      </w:r>
      <w:r w:rsidR="00EC239C">
        <w:rPr>
          <w:rFonts w:cs="Times New Roman"/>
        </w:rPr>
        <w:t>a approfondita analisi di</w:t>
      </w:r>
      <w:r w:rsidR="007C6FB1">
        <w:rPr>
          <w:rFonts w:cs="Times New Roman"/>
        </w:rPr>
        <w:t xml:space="preserve"> tale articolo </w:t>
      </w:r>
      <w:r>
        <w:rPr>
          <w:rFonts w:cs="Times New Roman"/>
        </w:rPr>
        <w:t xml:space="preserve">porta a riscontrare altre </w:t>
      </w:r>
      <w:r w:rsidR="00AA69F1">
        <w:rPr>
          <w:rFonts w:cs="Times New Roman"/>
        </w:rPr>
        <w:t>modifiche, tutte tese a semplificare la norma ed a configurarla secondo principi di offensività</w:t>
      </w:r>
      <w:r w:rsidR="00E610CA">
        <w:rPr>
          <w:rStyle w:val="Rimandonotaapidipagina"/>
          <w:rFonts w:cs="Times New Roman"/>
        </w:rPr>
        <w:footnoteReference w:id="87"/>
      </w:r>
      <w:r>
        <w:rPr>
          <w:rFonts w:cs="Times New Roman"/>
        </w:rPr>
        <w:t>.</w:t>
      </w:r>
    </w:p>
    <w:p w14:paraId="159E20B4" w14:textId="4E29A461" w:rsidR="00AA69F1" w:rsidRDefault="00AA69F1" w:rsidP="0074459A">
      <w:pPr>
        <w:spacing w:before="100" w:beforeAutospacing="1" w:line="276" w:lineRule="auto"/>
        <w:ind w:firstLine="454"/>
        <w:rPr>
          <w:rFonts w:cs="Times New Roman"/>
        </w:rPr>
      </w:pPr>
      <w:r>
        <w:rPr>
          <w:rFonts w:cs="Times New Roman"/>
        </w:rPr>
        <w:t xml:space="preserve">Al tal fine sono stati eliminati i riferimenti alle notizie </w:t>
      </w:r>
      <w:r w:rsidR="00787258">
        <w:rPr>
          <w:rFonts w:cs="Times New Roman"/>
          <w:i/>
        </w:rPr>
        <w:t>«</w:t>
      </w:r>
      <w:r w:rsidRPr="00CE4B50">
        <w:rPr>
          <w:rFonts w:cs="Times New Roman"/>
          <w:i/>
        </w:rPr>
        <w:t>esagerate o tendenziose</w:t>
      </w:r>
      <w:r w:rsidR="00787258">
        <w:rPr>
          <w:rFonts w:cs="Times New Roman"/>
          <w:i/>
        </w:rPr>
        <w:t>»</w:t>
      </w:r>
      <w:r>
        <w:rPr>
          <w:rFonts w:cs="Times New Roman"/>
        </w:rPr>
        <w:t>, che peraltro sono sem</w:t>
      </w:r>
      <w:r w:rsidR="00CE4B50">
        <w:rPr>
          <w:rFonts w:cs="Times New Roman"/>
        </w:rPr>
        <w:t xml:space="preserve">pre stati fatti rientrare da </w:t>
      </w:r>
      <w:r>
        <w:rPr>
          <w:rFonts w:cs="Times New Roman"/>
        </w:rPr>
        <w:t>dottrina</w:t>
      </w:r>
      <w:r w:rsidR="00CE4B50">
        <w:rPr>
          <w:rFonts w:cs="Times New Roman"/>
        </w:rPr>
        <w:t xml:space="preserve"> e giurisprudenza</w:t>
      </w:r>
      <w:r>
        <w:rPr>
          <w:rFonts w:cs="Times New Roman"/>
        </w:rPr>
        <w:t xml:space="preserve"> nel più ampio campo delle notizie false</w:t>
      </w:r>
      <w:r>
        <w:rPr>
          <w:rStyle w:val="Rimandonotaapidipagina"/>
          <w:rFonts w:cs="Times New Roman"/>
        </w:rPr>
        <w:footnoteReference w:id="88"/>
      </w:r>
      <w:r w:rsidR="00CE4B50">
        <w:rPr>
          <w:rFonts w:cs="Times New Roman"/>
        </w:rPr>
        <w:t>.</w:t>
      </w:r>
      <w:r>
        <w:rPr>
          <w:rFonts w:cs="Times New Roman"/>
        </w:rPr>
        <w:t xml:space="preserve"> </w:t>
      </w:r>
      <w:r w:rsidR="00CE4B50">
        <w:rPr>
          <w:rFonts w:cs="Times New Roman"/>
        </w:rPr>
        <w:t>A</w:t>
      </w:r>
      <w:r>
        <w:rPr>
          <w:rFonts w:cs="Times New Roman"/>
        </w:rPr>
        <w:t xml:space="preserve">l termine </w:t>
      </w:r>
      <w:r w:rsidR="00787258">
        <w:rPr>
          <w:rFonts w:cs="Times New Roman"/>
          <w:i/>
        </w:rPr>
        <w:t>«</w:t>
      </w:r>
      <w:r w:rsidRPr="00CE4B50">
        <w:rPr>
          <w:rFonts w:cs="Times New Roman"/>
          <w:i/>
        </w:rPr>
        <w:t>divulga</w:t>
      </w:r>
      <w:r w:rsidR="00787258">
        <w:rPr>
          <w:rFonts w:cs="Times New Roman"/>
          <w:i/>
        </w:rPr>
        <w:t>»</w:t>
      </w:r>
      <w:r>
        <w:rPr>
          <w:rFonts w:cs="Times New Roman"/>
        </w:rPr>
        <w:t xml:space="preserve"> è </w:t>
      </w:r>
      <w:r w:rsidR="00CE4B50">
        <w:rPr>
          <w:rFonts w:cs="Times New Roman"/>
        </w:rPr>
        <w:t xml:space="preserve">invece </w:t>
      </w:r>
      <w:r>
        <w:rPr>
          <w:rFonts w:cs="Times New Roman"/>
        </w:rPr>
        <w:t xml:space="preserve">stato sostituito il termine </w:t>
      </w:r>
      <w:r w:rsidR="00787258">
        <w:rPr>
          <w:rFonts w:cs="Times New Roman"/>
          <w:i/>
        </w:rPr>
        <w:t>«</w:t>
      </w:r>
      <w:r w:rsidRPr="00CE4B50">
        <w:rPr>
          <w:rFonts w:cs="Times New Roman"/>
          <w:i/>
        </w:rPr>
        <w:t>diffonde</w:t>
      </w:r>
      <w:r w:rsidR="00787258">
        <w:rPr>
          <w:rFonts w:cs="Times New Roman"/>
          <w:i/>
        </w:rPr>
        <w:t>»</w:t>
      </w:r>
      <w:r w:rsidR="00CE4B50">
        <w:rPr>
          <w:rFonts w:cs="Times New Roman"/>
        </w:rPr>
        <w:t>,</w:t>
      </w:r>
      <w:r>
        <w:rPr>
          <w:rFonts w:cs="Times New Roman"/>
        </w:rPr>
        <w:t xml:space="preserve"> ma con significato analogo.</w:t>
      </w:r>
    </w:p>
    <w:p w14:paraId="6E595149" w14:textId="7FFE6EF7" w:rsidR="00177DC1" w:rsidRDefault="00E47C4A" w:rsidP="0074459A">
      <w:pPr>
        <w:spacing w:before="100" w:beforeAutospacing="1" w:line="276" w:lineRule="auto"/>
        <w:ind w:firstLine="454"/>
        <w:rPr>
          <w:rFonts w:cs="Times New Roman"/>
        </w:rPr>
      </w:pPr>
      <w:r>
        <w:rPr>
          <w:rFonts w:cs="Times New Roman"/>
        </w:rPr>
        <w:t xml:space="preserve">L’aggiunta dell’avverbio </w:t>
      </w:r>
      <w:r w:rsidR="00787258">
        <w:rPr>
          <w:rFonts w:cs="Times New Roman"/>
          <w:i/>
        </w:rPr>
        <w:t>«</w:t>
      </w:r>
      <w:r w:rsidRPr="00E47C4A">
        <w:rPr>
          <w:rFonts w:cs="Times New Roman"/>
          <w:i/>
        </w:rPr>
        <w:t>concretamente</w:t>
      </w:r>
      <w:r w:rsidR="00787258">
        <w:rPr>
          <w:rFonts w:cs="Times New Roman"/>
          <w:i/>
        </w:rPr>
        <w:t>»</w:t>
      </w:r>
      <w:r>
        <w:rPr>
          <w:rFonts w:cs="Times New Roman"/>
        </w:rPr>
        <w:t>, ad ulteriore specificazione della</w:t>
      </w:r>
      <w:r w:rsidR="00DE4D8B">
        <w:rPr>
          <w:rFonts w:cs="Times New Roman"/>
        </w:rPr>
        <w:t xml:space="preserve"> idoneità della</w:t>
      </w:r>
      <w:r>
        <w:rPr>
          <w:rFonts w:cs="Times New Roman"/>
        </w:rPr>
        <w:t xml:space="preserve"> condotta</w:t>
      </w:r>
      <w:r w:rsidR="00E62A69">
        <w:rPr>
          <w:rFonts w:cs="Times New Roman"/>
        </w:rPr>
        <w:t xml:space="preserve"> a produrre l’evento</w:t>
      </w:r>
      <w:r>
        <w:rPr>
          <w:rFonts w:cs="Times New Roman"/>
        </w:rPr>
        <w:t xml:space="preserve">, </w:t>
      </w:r>
      <w:r w:rsidR="00E62A69">
        <w:rPr>
          <w:rFonts w:cs="Times New Roman"/>
        </w:rPr>
        <w:t>supera</w:t>
      </w:r>
      <w:r w:rsidR="00DE4D8B">
        <w:rPr>
          <w:rFonts w:cs="Times New Roman"/>
        </w:rPr>
        <w:t xml:space="preserve"> il dibattito dottrinario </w:t>
      </w:r>
      <w:r w:rsidR="00E62A69">
        <w:rPr>
          <w:rFonts w:cs="Times New Roman"/>
        </w:rPr>
        <w:t>sulla natura del reato per configurarlo definitivamente come reato di pericolo concreto. Quindi</w:t>
      </w:r>
      <w:r w:rsidR="0041343C">
        <w:rPr>
          <w:rFonts w:cs="Times New Roman"/>
        </w:rPr>
        <w:t xml:space="preserve"> per realizzare la fattispecie</w:t>
      </w:r>
      <w:r w:rsidR="00E62A69">
        <w:rPr>
          <w:rFonts w:cs="Times New Roman"/>
        </w:rPr>
        <w:t xml:space="preserve"> </w:t>
      </w:r>
      <w:r w:rsidR="0041343C">
        <w:rPr>
          <w:rFonts w:cs="Times New Roman"/>
        </w:rPr>
        <w:t>dovrà aver</w:t>
      </w:r>
      <w:r w:rsidR="00EC239C">
        <w:rPr>
          <w:rFonts w:cs="Times New Roman"/>
        </w:rPr>
        <w:t>si</w:t>
      </w:r>
      <w:r w:rsidR="0041343C">
        <w:rPr>
          <w:rFonts w:cs="Times New Roman"/>
        </w:rPr>
        <w:t xml:space="preserve"> r</w:t>
      </w:r>
      <w:r w:rsidR="00EC239C">
        <w:rPr>
          <w:rFonts w:cs="Times New Roman"/>
        </w:rPr>
        <w:t>iguardo all’idoneità degli atti</w:t>
      </w:r>
      <w:r w:rsidR="0041343C">
        <w:rPr>
          <w:rFonts w:cs="Times New Roman"/>
        </w:rPr>
        <w:t xml:space="preserve"> </w:t>
      </w:r>
      <w:r w:rsidR="00E62A69">
        <w:rPr>
          <w:rFonts w:cs="Times New Roman"/>
        </w:rPr>
        <w:t xml:space="preserve">ad influenzare </w:t>
      </w:r>
      <w:r w:rsidR="0041343C">
        <w:rPr>
          <w:rFonts w:cs="Times New Roman"/>
        </w:rPr>
        <w:t>il mercato</w:t>
      </w:r>
      <w:r w:rsidR="003C7779">
        <w:rPr>
          <w:rFonts w:cs="Times New Roman"/>
        </w:rPr>
        <w:t xml:space="preserve">, </w:t>
      </w:r>
      <w:r w:rsidR="00EC239C">
        <w:rPr>
          <w:rFonts w:cs="Times New Roman"/>
        </w:rPr>
        <w:t xml:space="preserve">non in astratto, ma in concreto, </w:t>
      </w:r>
      <w:r w:rsidR="003C7779">
        <w:rPr>
          <w:rFonts w:cs="Times New Roman"/>
        </w:rPr>
        <w:t>dove la normale fluttuazione del titolo sarà il parametro per registrare l’anomalia</w:t>
      </w:r>
      <w:r w:rsidR="0041343C">
        <w:rPr>
          <w:rFonts w:cs="Times New Roman"/>
        </w:rPr>
        <w:t xml:space="preserve">. L’indagine per il giudice sarà facilitata dalla circostanza che statisticamente tale reato viene perseguito quando sia stato effettivamente realizzata un’alterazione del prezzo, </w:t>
      </w:r>
      <w:r w:rsidR="00177DC1">
        <w:rPr>
          <w:rFonts w:cs="Times New Roman"/>
        </w:rPr>
        <w:t>che peraltro dovrà essere sensibile</w:t>
      </w:r>
      <w:r w:rsidR="003C7779">
        <w:rPr>
          <w:rStyle w:val="Rimandonotaapidipagina"/>
          <w:rFonts w:cs="Times New Roman"/>
        </w:rPr>
        <w:footnoteReference w:id="89"/>
      </w:r>
      <w:r w:rsidR="00177DC1">
        <w:rPr>
          <w:rFonts w:cs="Times New Roman"/>
        </w:rPr>
        <w:t xml:space="preserve">. </w:t>
      </w:r>
    </w:p>
    <w:p w14:paraId="73904AB0" w14:textId="77777777" w:rsidR="00177DC1" w:rsidRDefault="00177DC1" w:rsidP="0074459A">
      <w:pPr>
        <w:spacing w:before="100" w:beforeAutospacing="1" w:line="276" w:lineRule="auto"/>
        <w:ind w:firstLine="454"/>
        <w:rPr>
          <w:rFonts w:cs="Times New Roman"/>
        </w:rPr>
      </w:pPr>
      <w:r>
        <w:rPr>
          <w:rFonts w:cs="Times New Roman"/>
        </w:rPr>
        <w:t>La previsione della concreta idoneità e della sensibile alterazione sembra allora essere stata inserita come specificazione, con riferimento al reato, di quanto previsto già in via generale dal secondo comma dell’art. 49 c.p.</w:t>
      </w:r>
      <w:r>
        <w:rPr>
          <w:rStyle w:val="Rimandonotaapidipagina"/>
          <w:rFonts w:cs="Times New Roman"/>
        </w:rPr>
        <w:footnoteReference w:id="90"/>
      </w:r>
      <w:r>
        <w:rPr>
          <w:rFonts w:cs="Times New Roman"/>
        </w:rPr>
        <w:t>, il quale esclude la punibilità quando, per l’inidoneità del tentativo, è impossibile l’evento di danno ovvero di pericolo.</w:t>
      </w:r>
    </w:p>
    <w:p w14:paraId="018E34CF" w14:textId="505ADC7C" w:rsidR="00164A81" w:rsidRDefault="003C7779" w:rsidP="0074459A">
      <w:pPr>
        <w:spacing w:before="100" w:beforeAutospacing="1" w:line="276" w:lineRule="auto"/>
        <w:ind w:firstLine="454"/>
        <w:rPr>
          <w:rFonts w:cs="Times New Roman"/>
        </w:rPr>
      </w:pPr>
      <w:r>
        <w:rPr>
          <w:rFonts w:cs="Times New Roman"/>
        </w:rPr>
        <w:t>Da ultimo,</w:t>
      </w:r>
      <w:r w:rsidR="008B0AD2">
        <w:rPr>
          <w:rFonts w:cs="Times New Roman"/>
        </w:rPr>
        <w:t xml:space="preserve"> è stata </w:t>
      </w:r>
      <w:r w:rsidR="00B807E2">
        <w:rPr>
          <w:rFonts w:cs="Times New Roman"/>
        </w:rPr>
        <w:t>soppressa</w:t>
      </w:r>
      <w:r w:rsidR="008B0AD2" w:rsidRPr="00B807E2">
        <w:rPr>
          <w:rFonts w:cs="Times New Roman"/>
        </w:rPr>
        <w:t xml:space="preserve"> </w:t>
      </w:r>
      <w:r w:rsidR="00661A9E">
        <w:rPr>
          <w:rFonts w:cs="Times New Roman"/>
        </w:rPr>
        <w:t>la possibilità</w:t>
      </w:r>
      <w:r w:rsidR="007C6FB1">
        <w:rPr>
          <w:rFonts w:cs="Times New Roman"/>
        </w:rPr>
        <w:t>, inserita dal citato art. 181,</w:t>
      </w:r>
      <w:r w:rsidR="00661A9E">
        <w:rPr>
          <w:rFonts w:cs="Times New Roman"/>
        </w:rPr>
        <w:t xml:space="preserve"> di configurare il reato quando la condotta sia idonea</w:t>
      </w:r>
      <w:r w:rsidR="00164A81" w:rsidRPr="00B807E2">
        <w:rPr>
          <w:rFonts w:cs="Times New Roman"/>
        </w:rPr>
        <w:t xml:space="preserve"> a provocare </w:t>
      </w:r>
      <w:r w:rsidR="00787258">
        <w:rPr>
          <w:rFonts w:cs="Times New Roman"/>
          <w:i/>
        </w:rPr>
        <w:t>«</w:t>
      </w:r>
      <w:r w:rsidR="00164A81" w:rsidRPr="00B807E2">
        <w:rPr>
          <w:rFonts w:cs="Times New Roman"/>
          <w:i/>
        </w:rPr>
        <w:t>l’apparenza di un mercato attivo</w:t>
      </w:r>
      <w:r w:rsidR="00787258">
        <w:rPr>
          <w:rFonts w:cs="Times New Roman"/>
          <w:i/>
        </w:rPr>
        <w:t>»</w:t>
      </w:r>
      <w:r w:rsidR="00164A81" w:rsidRPr="00B807E2">
        <w:rPr>
          <w:rFonts w:cs="Times New Roman"/>
        </w:rPr>
        <w:t xml:space="preserve"> degli str</w:t>
      </w:r>
      <w:r w:rsidR="008B0AD2" w:rsidRPr="00B807E2">
        <w:rPr>
          <w:rFonts w:cs="Times New Roman"/>
        </w:rPr>
        <w:t>u</w:t>
      </w:r>
      <w:r w:rsidR="00164A81" w:rsidRPr="00B807E2">
        <w:rPr>
          <w:rFonts w:cs="Times New Roman"/>
        </w:rPr>
        <w:t>menti finanziari</w:t>
      </w:r>
      <w:r w:rsidR="008B0AD2" w:rsidRPr="00B807E2">
        <w:rPr>
          <w:rFonts w:cs="Times New Roman"/>
        </w:rPr>
        <w:t>.</w:t>
      </w:r>
      <w:r w:rsidR="00B807E2" w:rsidRPr="00B807E2">
        <w:rPr>
          <w:rFonts w:cs="Times New Roman"/>
        </w:rPr>
        <w:t xml:space="preserve"> Tale soppressione non permette più di individuare un importante evento preliminare alla stessa manipolazio</w:t>
      </w:r>
      <w:r w:rsidR="00B807E2">
        <w:rPr>
          <w:rFonts w:cs="Times New Roman"/>
        </w:rPr>
        <w:t>ne</w:t>
      </w:r>
      <w:r w:rsidR="00B807E2">
        <w:rPr>
          <w:rStyle w:val="Rimandonotaapidipagina"/>
          <w:rFonts w:cs="Times New Roman"/>
        </w:rPr>
        <w:footnoteReference w:id="91"/>
      </w:r>
      <w:r w:rsidR="00B807E2">
        <w:rPr>
          <w:rFonts w:cs="Times New Roman"/>
        </w:rPr>
        <w:t>, anche se, come si è già visto, il reato viene in concreto perseguito in massima parte quando vi sia stata effettivamente una alterazione di prezzo.</w:t>
      </w:r>
    </w:p>
    <w:p w14:paraId="478C87D8" w14:textId="3613576D" w:rsidR="000B6D25" w:rsidRPr="002F10A2" w:rsidRDefault="00A02EC4" w:rsidP="0074459A">
      <w:pPr>
        <w:pStyle w:val="Titolo2"/>
        <w:numPr>
          <w:ilvl w:val="0"/>
          <w:numId w:val="22"/>
        </w:numPr>
      </w:pPr>
      <w:bookmarkStart w:id="17" w:name="_Toc272493054"/>
      <w:r>
        <w:t>Il modello</w:t>
      </w:r>
      <w:r w:rsidR="004572CE" w:rsidRPr="002F10A2">
        <w:t xml:space="preserve"> statunitense della disciplina sugli abusi di mercato</w:t>
      </w:r>
      <w:r>
        <w:t xml:space="preserve"> come quadro di riferimento della disciplina comunitaria della materia</w:t>
      </w:r>
      <w:bookmarkEnd w:id="17"/>
    </w:p>
    <w:p w14:paraId="58835790" w14:textId="77777777" w:rsidR="0069548D" w:rsidRDefault="004572CE" w:rsidP="0074459A">
      <w:pPr>
        <w:spacing w:before="100" w:beforeAutospacing="1" w:line="276" w:lineRule="auto"/>
        <w:ind w:firstLine="454"/>
        <w:rPr>
          <w:rFonts w:cs="Times New Roman"/>
        </w:rPr>
      </w:pPr>
      <w:r>
        <w:rPr>
          <w:rFonts w:cs="Times New Roman"/>
        </w:rPr>
        <w:t xml:space="preserve">Si deve ora sospendere l’analisi del diritto vigente </w:t>
      </w:r>
      <w:r w:rsidR="00000F13">
        <w:rPr>
          <w:rFonts w:cs="Times New Roman"/>
        </w:rPr>
        <w:t>in Italia</w:t>
      </w:r>
      <w:r w:rsidR="00FC5CC0">
        <w:rPr>
          <w:rFonts w:cs="Times New Roman"/>
        </w:rPr>
        <w:t xml:space="preserve"> per spostare l’</w:t>
      </w:r>
      <w:r w:rsidR="00000F13">
        <w:rPr>
          <w:rFonts w:cs="Times New Roman"/>
        </w:rPr>
        <w:t>attenzione su</w:t>
      </w:r>
      <w:r w:rsidR="00C45513">
        <w:rPr>
          <w:rFonts w:cs="Times New Roman"/>
        </w:rPr>
        <w:t xml:space="preserve">gli Stati Uniti d’America, da dove trae ispirazione la legislazione europea in tema </w:t>
      </w:r>
      <w:r w:rsidR="000B3C03">
        <w:rPr>
          <w:rFonts w:cs="Times New Roman"/>
        </w:rPr>
        <w:t>di diritto penale dell’economia, introdotta con la</w:t>
      </w:r>
      <w:r w:rsidR="00C45513">
        <w:rPr>
          <w:rFonts w:cs="Times New Roman"/>
        </w:rPr>
        <w:t xml:space="preserve"> </w:t>
      </w:r>
      <w:r w:rsidR="000B3C03">
        <w:rPr>
          <w:rFonts w:cs="Times New Roman"/>
        </w:rPr>
        <w:t xml:space="preserve">Direttiva 2003/6/CE </w:t>
      </w:r>
      <w:r w:rsidR="00D85B4F">
        <w:rPr>
          <w:rFonts w:cs="Times New Roman"/>
        </w:rPr>
        <w:t xml:space="preserve">e </w:t>
      </w:r>
      <w:r w:rsidR="0069548D">
        <w:rPr>
          <w:rFonts w:cs="Times New Roman"/>
        </w:rPr>
        <w:t>successivamente</w:t>
      </w:r>
      <w:r w:rsidR="000B3C03">
        <w:rPr>
          <w:rFonts w:cs="Times New Roman"/>
        </w:rPr>
        <w:t xml:space="preserve"> recepita</w:t>
      </w:r>
      <w:r w:rsidR="0069548D">
        <w:rPr>
          <w:rFonts w:cs="Times New Roman"/>
        </w:rPr>
        <w:t xml:space="preserve"> dal legislatore nazionale.</w:t>
      </w:r>
    </w:p>
    <w:p w14:paraId="41C326D3" w14:textId="77777777" w:rsidR="00900E55" w:rsidRDefault="00C45513" w:rsidP="0074459A">
      <w:pPr>
        <w:spacing w:before="100" w:beforeAutospacing="1" w:line="276" w:lineRule="auto"/>
        <w:ind w:firstLine="454"/>
        <w:rPr>
          <w:rFonts w:cs="Times New Roman"/>
        </w:rPr>
      </w:pPr>
      <w:r>
        <w:rPr>
          <w:rFonts w:cs="Times New Roman"/>
        </w:rPr>
        <w:t xml:space="preserve">Il fenomeno è così diffuso e consolidato che alcuni autori sono stati portati a parlare perfino di </w:t>
      </w:r>
      <w:r w:rsidR="00D051A6">
        <w:rPr>
          <w:rFonts w:cs="Times New Roman"/>
        </w:rPr>
        <w:t>“</w:t>
      </w:r>
      <w:r>
        <w:rPr>
          <w:rFonts w:cs="Times New Roman"/>
          <w:i/>
        </w:rPr>
        <w:t>americanizzazione</w:t>
      </w:r>
      <w:r w:rsidR="00D051A6">
        <w:rPr>
          <w:rFonts w:cs="Times New Roman"/>
          <w:i/>
        </w:rPr>
        <w:t>”</w:t>
      </w:r>
      <w:r>
        <w:rPr>
          <w:rFonts w:cs="Times New Roman"/>
          <w:i/>
        </w:rPr>
        <w:t xml:space="preserve"> </w:t>
      </w:r>
      <w:r>
        <w:rPr>
          <w:rFonts w:cs="Times New Roman"/>
        </w:rPr>
        <w:t>d</w:t>
      </w:r>
      <w:r w:rsidR="00BD67B1">
        <w:rPr>
          <w:rFonts w:cs="Times New Roman"/>
        </w:rPr>
        <w:t>el diritto degli stati europei</w:t>
      </w:r>
      <w:r w:rsidR="000B3C03">
        <w:rPr>
          <w:rStyle w:val="Rimandonotaapidipagina"/>
          <w:rFonts w:cs="Times New Roman"/>
        </w:rPr>
        <w:footnoteReference w:id="92"/>
      </w:r>
      <w:r w:rsidR="00BD67B1">
        <w:rPr>
          <w:rFonts w:cs="Times New Roman"/>
        </w:rPr>
        <w:t>.</w:t>
      </w:r>
    </w:p>
    <w:p w14:paraId="76B53BA0" w14:textId="77777777" w:rsidR="00BE5E49" w:rsidRDefault="006056BC" w:rsidP="0074459A">
      <w:pPr>
        <w:spacing w:before="100" w:beforeAutospacing="1" w:line="276" w:lineRule="auto"/>
        <w:ind w:firstLine="454"/>
        <w:rPr>
          <w:rFonts w:cs="Times New Roman"/>
        </w:rPr>
      </w:pPr>
      <w:r>
        <w:rPr>
          <w:rFonts w:cs="Times New Roman"/>
        </w:rPr>
        <w:t xml:space="preserve">Si può, </w:t>
      </w:r>
      <w:r w:rsidRPr="006056BC">
        <w:rPr>
          <w:rFonts w:cs="Times New Roman"/>
          <w:i/>
        </w:rPr>
        <w:t>prima facie</w:t>
      </w:r>
      <w:r>
        <w:rPr>
          <w:rFonts w:cs="Times New Roman"/>
        </w:rPr>
        <w:t xml:space="preserve">, </w:t>
      </w:r>
      <w:r w:rsidR="00BE5E49">
        <w:rPr>
          <w:rFonts w:cs="Times New Roman"/>
        </w:rPr>
        <w:t xml:space="preserve">collegare tale </w:t>
      </w:r>
      <w:r w:rsidR="00D051A6">
        <w:rPr>
          <w:rFonts w:cs="Times New Roman"/>
        </w:rPr>
        <w:t>tendenza</w:t>
      </w:r>
      <w:r w:rsidR="00BE5E49">
        <w:rPr>
          <w:rFonts w:cs="Times New Roman"/>
        </w:rPr>
        <w:t xml:space="preserve"> al più ampio processo di globalizzazione, che sta portando, a livello mondiale, anche ad una </w:t>
      </w:r>
      <w:r w:rsidR="003D4CBC">
        <w:rPr>
          <w:rFonts w:cs="Times New Roman"/>
        </w:rPr>
        <w:t xml:space="preserve">progressiva </w:t>
      </w:r>
      <w:r w:rsidR="00BE5E49">
        <w:rPr>
          <w:rFonts w:cs="Times New Roman"/>
        </w:rPr>
        <w:t xml:space="preserve">convergenza tra ordinamenti in tutti i campi del diritto. Tale argomentazione, in sé valida, </w:t>
      </w:r>
      <w:r w:rsidR="0087673E">
        <w:rPr>
          <w:rFonts w:cs="Times New Roman"/>
        </w:rPr>
        <w:t xml:space="preserve">da sola </w:t>
      </w:r>
      <w:r w:rsidR="00BE5E49">
        <w:rPr>
          <w:rFonts w:cs="Times New Roman"/>
        </w:rPr>
        <w:t xml:space="preserve">non </w:t>
      </w:r>
      <w:r w:rsidR="003D4CBC">
        <w:rPr>
          <w:rFonts w:cs="Times New Roman"/>
        </w:rPr>
        <w:t>giustifica l</w:t>
      </w:r>
      <w:r w:rsidR="00D051A6">
        <w:rPr>
          <w:rFonts w:cs="Times New Roman"/>
        </w:rPr>
        <w:t xml:space="preserve">a </w:t>
      </w:r>
      <w:r w:rsidR="003D4CBC">
        <w:rPr>
          <w:rFonts w:cs="Times New Roman"/>
        </w:rPr>
        <w:t>particolare</w:t>
      </w:r>
      <w:r w:rsidR="00D051A6">
        <w:rPr>
          <w:rFonts w:cs="Times New Roman"/>
        </w:rPr>
        <w:t xml:space="preserve"> forza di tale fenomeno</w:t>
      </w:r>
      <w:r w:rsidR="003D4CBC">
        <w:rPr>
          <w:rFonts w:cs="Times New Roman"/>
        </w:rPr>
        <w:t xml:space="preserve"> nella tutela dei mercati finanziari,</w:t>
      </w:r>
      <w:r w:rsidR="00000F13">
        <w:rPr>
          <w:rFonts w:cs="Times New Roman"/>
        </w:rPr>
        <w:t xml:space="preserve"> né spiega l’adozione</w:t>
      </w:r>
      <w:r w:rsidR="00BE5E49">
        <w:rPr>
          <w:rFonts w:cs="Times New Roman"/>
        </w:rPr>
        <w:t xml:space="preserve"> del modello statunitense</w:t>
      </w:r>
      <w:r w:rsidR="00000F13">
        <w:rPr>
          <w:rFonts w:cs="Times New Roman"/>
        </w:rPr>
        <w:t xml:space="preserve"> come riferimento</w:t>
      </w:r>
      <w:r w:rsidR="00BE5E49">
        <w:rPr>
          <w:rFonts w:cs="Times New Roman"/>
        </w:rPr>
        <w:t>.</w:t>
      </w:r>
    </w:p>
    <w:p w14:paraId="21BD5433" w14:textId="77777777" w:rsidR="006056BC" w:rsidRDefault="003D4CBC" w:rsidP="0074459A">
      <w:pPr>
        <w:spacing w:before="100" w:beforeAutospacing="1" w:line="276" w:lineRule="auto"/>
        <w:ind w:firstLine="454"/>
        <w:rPr>
          <w:rFonts w:cs="Times New Roman"/>
        </w:rPr>
      </w:pPr>
      <w:r>
        <w:rPr>
          <w:rFonts w:cs="Times New Roman"/>
        </w:rPr>
        <w:t xml:space="preserve">La </w:t>
      </w:r>
      <w:r w:rsidR="00D051A6">
        <w:rPr>
          <w:rFonts w:cs="Times New Roman"/>
        </w:rPr>
        <w:t>motivazione</w:t>
      </w:r>
      <w:r>
        <w:rPr>
          <w:rFonts w:cs="Times New Roman"/>
        </w:rPr>
        <w:t xml:space="preserve"> può anzitutto essere </w:t>
      </w:r>
      <w:r w:rsidR="00D051A6">
        <w:rPr>
          <w:rFonts w:cs="Times New Roman"/>
        </w:rPr>
        <w:t>ricercata nel campo dell’</w:t>
      </w:r>
      <w:r>
        <w:rPr>
          <w:rFonts w:cs="Times New Roman"/>
        </w:rPr>
        <w:t>economi</w:t>
      </w:r>
      <w:r w:rsidR="00D051A6">
        <w:rPr>
          <w:rFonts w:cs="Times New Roman"/>
        </w:rPr>
        <w:t>a</w:t>
      </w:r>
      <w:r w:rsidR="006056BC">
        <w:rPr>
          <w:rFonts w:cs="Times New Roman"/>
        </w:rPr>
        <w:t>, considerato che il mercato finanziario statunitense è quello con</w:t>
      </w:r>
      <w:r>
        <w:rPr>
          <w:rFonts w:cs="Times New Roman"/>
        </w:rPr>
        <w:t xml:space="preserve"> la</w:t>
      </w:r>
      <w:r w:rsidR="006056BC">
        <w:rPr>
          <w:rFonts w:cs="Times New Roman"/>
        </w:rPr>
        <w:t xml:space="preserve"> maggior disponibilità di capitali e alle cui norme anche le imprese non statunitensi tendenzialmente si conformano. I mercati concorrenti</w:t>
      </w:r>
      <w:r w:rsidR="0087673E">
        <w:rPr>
          <w:rFonts w:cs="Times New Roman"/>
        </w:rPr>
        <w:t xml:space="preserve"> e/o in stabili rapporti economici</w:t>
      </w:r>
      <w:r w:rsidR="006056BC">
        <w:rPr>
          <w:rFonts w:cs="Times New Roman"/>
        </w:rPr>
        <w:t xml:space="preserve"> </w:t>
      </w:r>
      <w:r w:rsidR="00BE5E49">
        <w:rPr>
          <w:rFonts w:cs="Times New Roman"/>
        </w:rPr>
        <w:t>con</w:t>
      </w:r>
      <w:r w:rsidR="006056BC">
        <w:rPr>
          <w:rFonts w:cs="Times New Roman"/>
        </w:rPr>
        <w:t xml:space="preserve"> quello statunitense</w:t>
      </w:r>
      <w:r w:rsidR="0087673E">
        <w:rPr>
          <w:rFonts w:cs="Times New Roman"/>
        </w:rPr>
        <w:t xml:space="preserve"> hanno quindi interesse</w:t>
      </w:r>
      <w:r w:rsidR="006056BC">
        <w:rPr>
          <w:rFonts w:cs="Times New Roman"/>
        </w:rPr>
        <w:t xml:space="preserve"> ad avvicina</w:t>
      </w:r>
      <w:r w:rsidR="00BE5E49">
        <w:rPr>
          <w:rFonts w:cs="Times New Roman"/>
        </w:rPr>
        <w:t xml:space="preserve">rsi </w:t>
      </w:r>
      <w:r w:rsidR="0087673E">
        <w:rPr>
          <w:rFonts w:cs="Times New Roman"/>
        </w:rPr>
        <w:t>ad esso anche a livello normativo.</w:t>
      </w:r>
    </w:p>
    <w:p w14:paraId="7753F1BB" w14:textId="77777777" w:rsidR="00BE5E49" w:rsidRDefault="003D4CBC" w:rsidP="0074459A">
      <w:pPr>
        <w:spacing w:before="100" w:beforeAutospacing="1" w:line="276" w:lineRule="auto"/>
        <w:ind w:firstLine="454"/>
        <w:rPr>
          <w:rFonts w:cs="Times New Roman"/>
        </w:rPr>
      </w:pPr>
      <w:r>
        <w:rPr>
          <w:rFonts w:cs="Times New Roman"/>
        </w:rPr>
        <w:t xml:space="preserve">L’elemento che sembra </w:t>
      </w:r>
      <w:r w:rsidR="0087673E">
        <w:rPr>
          <w:rFonts w:cs="Times New Roman"/>
        </w:rPr>
        <w:t>però</w:t>
      </w:r>
      <w:r>
        <w:rPr>
          <w:rFonts w:cs="Times New Roman"/>
        </w:rPr>
        <w:t xml:space="preserve"> </w:t>
      </w:r>
      <w:r w:rsidR="00D051A6">
        <w:rPr>
          <w:rFonts w:cs="Times New Roman"/>
        </w:rPr>
        <w:t>decisivo</w:t>
      </w:r>
      <w:r>
        <w:rPr>
          <w:rFonts w:cs="Times New Roman"/>
        </w:rPr>
        <w:t xml:space="preserve"> per la scelta di un modello, </w:t>
      </w:r>
      <w:r w:rsidR="00D051A6">
        <w:rPr>
          <w:rFonts w:cs="Times New Roman"/>
        </w:rPr>
        <w:t xml:space="preserve">anche rispetto alla possibilità per l’Unione europea </w:t>
      </w:r>
      <w:r>
        <w:rPr>
          <w:rFonts w:cs="Times New Roman"/>
        </w:rPr>
        <w:t xml:space="preserve">di adottarne uno proprio </w:t>
      </w:r>
      <w:r w:rsidRPr="003D4CBC">
        <w:rPr>
          <w:rFonts w:cs="Times New Roman"/>
          <w:i/>
        </w:rPr>
        <w:t>ex novo</w:t>
      </w:r>
      <w:r>
        <w:rPr>
          <w:rFonts w:cs="Times New Roman"/>
        </w:rPr>
        <w:t xml:space="preserve">, è rappresentato dal prestigio </w:t>
      </w:r>
      <w:r w:rsidR="00A778EC">
        <w:rPr>
          <w:rFonts w:cs="Times New Roman"/>
        </w:rPr>
        <w:t>di cui</w:t>
      </w:r>
      <w:r>
        <w:rPr>
          <w:rFonts w:cs="Times New Roman"/>
        </w:rPr>
        <w:t xml:space="preserve"> il modello</w:t>
      </w:r>
      <w:r w:rsidR="00A778EC">
        <w:rPr>
          <w:rFonts w:cs="Times New Roman"/>
        </w:rPr>
        <w:t xml:space="preserve"> di riferimento gode</w:t>
      </w:r>
      <w:r w:rsidR="0087673E">
        <w:rPr>
          <w:rFonts w:cs="Times New Roman"/>
        </w:rPr>
        <w:t>,</w:t>
      </w:r>
      <w:r w:rsidR="00A778EC">
        <w:rPr>
          <w:rFonts w:cs="Times New Roman"/>
        </w:rPr>
        <w:t xml:space="preserve"> cui</w:t>
      </w:r>
      <w:r w:rsidR="00685F7B">
        <w:rPr>
          <w:rFonts w:cs="Times New Roman"/>
        </w:rPr>
        <w:t xml:space="preserve"> corrisponde anche</w:t>
      </w:r>
      <w:r w:rsidR="00A778EC">
        <w:rPr>
          <w:rFonts w:cs="Times New Roman"/>
        </w:rPr>
        <w:t xml:space="preserve"> </w:t>
      </w:r>
      <w:r w:rsidR="00D051A6">
        <w:rPr>
          <w:rFonts w:cs="Times New Roman"/>
        </w:rPr>
        <w:t>una sua</w:t>
      </w:r>
      <w:r w:rsidR="00A778EC">
        <w:rPr>
          <w:rFonts w:cs="Times New Roman"/>
        </w:rPr>
        <w:t xml:space="preserve"> efficienza repressiva. Scegliere forme di tutela</w:t>
      </w:r>
      <w:r w:rsidR="00685F7B">
        <w:rPr>
          <w:rFonts w:cs="Times New Roman"/>
        </w:rPr>
        <w:t xml:space="preserve"> diverse, con il rischio di scarsa</w:t>
      </w:r>
      <w:r w:rsidR="00A778EC">
        <w:rPr>
          <w:rFonts w:cs="Times New Roman"/>
        </w:rPr>
        <w:t xml:space="preserve"> </w:t>
      </w:r>
      <w:r w:rsidR="00685F7B">
        <w:rPr>
          <w:rFonts w:cs="Times New Roman"/>
        </w:rPr>
        <w:t>efficienza, avrebbe potuto portare</w:t>
      </w:r>
      <w:r w:rsidR="00A778EC">
        <w:rPr>
          <w:rFonts w:cs="Times New Roman"/>
        </w:rPr>
        <w:t xml:space="preserve"> a conseguenze gravi, specie in un campo così suscettibile di risvolti macroeconomici, come è quello dei mercati finanziari. </w:t>
      </w:r>
      <w:r w:rsidR="00D051A6">
        <w:rPr>
          <w:rFonts w:cs="Times New Roman"/>
        </w:rPr>
        <w:t>Seppure</w:t>
      </w:r>
      <w:r w:rsidR="00A778EC">
        <w:rPr>
          <w:rFonts w:cs="Times New Roman"/>
        </w:rPr>
        <w:t xml:space="preserve"> anche il modello statunitense non </w:t>
      </w:r>
      <w:r w:rsidR="00685F7B">
        <w:rPr>
          <w:rFonts w:cs="Times New Roman"/>
        </w:rPr>
        <w:t>sia</w:t>
      </w:r>
      <w:r w:rsidR="00A778EC">
        <w:rPr>
          <w:rFonts w:cs="Times New Roman"/>
        </w:rPr>
        <w:t xml:space="preserve"> andato esente da scandali,</w:t>
      </w:r>
      <w:r w:rsidR="00D051A6">
        <w:rPr>
          <w:rFonts w:cs="Times New Roman"/>
        </w:rPr>
        <w:t xml:space="preserve"> questi hanno avuto natura meramente occasionale e complessivamente</w:t>
      </w:r>
      <w:r w:rsidR="00A778EC">
        <w:rPr>
          <w:rFonts w:cs="Times New Roman"/>
        </w:rPr>
        <w:t xml:space="preserve"> si </w:t>
      </w:r>
      <w:r w:rsidR="00D051A6">
        <w:rPr>
          <w:rFonts w:cs="Times New Roman"/>
        </w:rPr>
        <w:t>presenta</w:t>
      </w:r>
      <w:r w:rsidR="00A778EC">
        <w:rPr>
          <w:rFonts w:cs="Times New Roman"/>
        </w:rPr>
        <w:t xml:space="preserve"> ai giorni</w:t>
      </w:r>
      <w:r w:rsidR="00D051A6">
        <w:rPr>
          <w:rFonts w:cs="Times New Roman"/>
        </w:rPr>
        <w:t xml:space="preserve"> nostri come quello che meglio ha affrontato l’evolversi dei mercati</w:t>
      </w:r>
      <w:r w:rsidR="00B7294B">
        <w:rPr>
          <w:rFonts w:cs="Times New Roman"/>
        </w:rPr>
        <w:t>:</w:t>
      </w:r>
      <w:r w:rsidR="00D051A6">
        <w:rPr>
          <w:rFonts w:cs="Times New Roman"/>
        </w:rPr>
        <w:t xml:space="preserve"> da qui la scelta del legislatore europeo</w:t>
      </w:r>
      <w:r w:rsidR="00FC5CC0">
        <w:rPr>
          <w:rStyle w:val="Rimandonotaapidipagina"/>
          <w:rFonts w:cs="Times New Roman"/>
        </w:rPr>
        <w:footnoteReference w:id="93"/>
      </w:r>
      <w:r w:rsidR="00D051A6">
        <w:rPr>
          <w:rFonts w:cs="Times New Roman"/>
        </w:rPr>
        <w:t>.</w:t>
      </w:r>
    </w:p>
    <w:p w14:paraId="059BFAF5" w14:textId="77777777" w:rsidR="00934455" w:rsidRDefault="00934455" w:rsidP="0074459A">
      <w:pPr>
        <w:spacing w:before="100" w:beforeAutospacing="1" w:after="100" w:afterAutospacing="1" w:line="276" w:lineRule="auto"/>
        <w:ind w:firstLine="454"/>
        <w:rPr>
          <w:rFonts w:cs="Times New Roman"/>
        </w:rPr>
      </w:pPr>
      <w:r>
        <w:rPr>
          <w:rFonts w:cs="Times New Roman"/>
        </w:rPr>
        <w:t>Si devono dunque analizzare i fattori che hanno portato al successo il modello statunitense e che sono stati ripresi dalla Direttiva 2003/6/CE. E</w:t>
      </w:r>
      <w:r w:rsidR="00FC5CC0">
        <w:rPr>
          <w:rFonts w:cs="Times New Roman"/>
        </w:rPr>
        <w:t>lement</w:t>
      </w:r>
      <w:r>
        <w:rPr>
          <w:rFonts w:cs="Times New Roman"/>
        </w:rPr>
        <w:t>o</w:t>
      </w:r>
      <w:r w:rsidR="00FC5CC0">
        <w:rPr>
          <w:rFonts w:cs="Times New Roman"/>
        </w:rPr>
        <w:t xml:space="preserve"> caratterizzant</w:t>
      </w:r>
      <w:r>
        <w:rPr>
          <w:rFonts w:cs="Times New Roman"/>
        </w:rPr>
        <w:t xml:space="preserve">e dell’intero sistema è la </w:t>
      </w:r>
      <w:r w:rsidR="00335ACD">
        <w:rPr>
          <w:rFonts w:cs="Times New Roman"/>
        </w:rPr>
        <w:t xml:space="preserve">flessibilità del Security and Exchange Act </w:t>
      </w:r>
      <w:r w:rsidR="00825ADB">
        <w:rPr>
          <w:rFonts w:cs="Times New Roman"/>
        </w:rPr>
        <w:t>del</w:t>
      </w:r>
      <w:r w:rsidR="00335ACD">
        <w:rPr>
          <w:rFonts w:cs="Times New Roman"/>
        </w:rPr>
        <w:t xml:space="preserve"> 1934, la quale</w:t>
      </w:r>
      <w:r>
        <w:rPr>
          <w:rFonts w:cs="Times New Roman"/>
        </w:rPr>
        <w:t xml:space="preserve"> ben si concilia con il mutare veloce del mercato.</w:t>
      </w:r>
    </w:p>
    <w:p w14:paraId="4BF72A6C" w14:textId="3EE63D08" w:rsidR="00E41062" w:rsidRPr="00335ACD" w:rsidRDefault="00934455" w:rsidP="0074459A">
      <w:pPr>
        <w:autoSpaceDE w:val="0"/>
        <w:autoSpaceDN w:val="0"/>
        <w:adjustRightInd w:val="0"/>
        <w:spacing w:after="100" w:afterAutospacing="1" w:line="276" w:lineRule="auto"/>
        <w:ind w:firstLine="454"/>
        <w:rPr>
          <w:rFonts w:cs="Times New Roman"/>
          <w:bCs/>
          <w:sz w:val="20"/>
          <w:szCs w:val="20"/>
          <w:lang w:val="en-US"/>
        </w:rPr>
      </w:pPr>
      <w:r>
        <w:rPr>
          <w:rFonts w:cs="Times New Roman"/>
        </w:rPr>
        <w:t>In particolare le norme repressive</w:t>
      </w:r>
      <w:r w:rsidR="00210A80">
        <w:rPr>
          <w:rFonts w:cs="Times New Roman"/>
        </w:rPr>
        <w:t>,</w:t>
      </w:r>
      <w:r w:rsidR="00C82755">
        <w:rPr>
          <w:rFonts w:cs="Times New Roman"/>
        </w:rPr>
        <w:t xml:space="preserve"> </w:t>
      </w:r>
      <w:r w:rsidR="0005373A">
        <w:rPr>
          <w:rFonts w:cs="Times New Roman"/>
        </w:rPr>
        <w:t>ad una prima descrizione casistica delle condotte manipolative</w:t>
      </w:r>
      <w:r w:rsidR="00210A80">
        <w:rPr>
          <w:rFonts w:cs="Times New Roman"/>
        </w:rPr>
        <w:t>,</w:t>
      </w:r>
      <w:r w:rsidR="0005373A">
        <w:rPr>
          <w:rFonts w:cs="Times New Roman"/>
        </w:rPr>
        <w:t xml:space="preserve"> aggiungono de</w:t>
      </w:r>
      <w:r w:rsidR="00161ADA">
        <w:rPr>
          <w:rFonts w:cs="Times New Roman"/>
        </w:rPr>
        <w:t>lle clausole generali</w:t>
      </w:r>
      <w:r w:rsidR="0005373A">
        <w:rPr>
          <w:rFonts w:cs="Times New Roman"/>
        </w:rPr>
        <w:t xml:space="preserve"> quale</w:t>
      </w:r>
      <w:r w:rsidR="00356683">
        <w:rPr>
          <w:rFonts w:cs="Times New Roman"/>
        </w:rPr>
        <w:t>,</w:t>
      </w:r>
      <w:r w:rsidR="0005373A">
        <w:rPr>
          <w:rFonts w:cs="Times New Roman"/>
        </w:rPr>
        <w:t xml:space="preserve"> </w:t>
      </w:r>
      <w:r w:rsidR="00C82755">
        <w:rPr>
          <w:rFonts w:cs="Times New Roman"/>
        </w:rPr>
        <w:t>ad esempio</w:t>
      </w:r>
      <w:r w:rsidR="00356683">
        <w:rPr>
          <w:rFonts w:cs="Times New Roman"/>
        </w:rPr>
        <w:t>,</w:t>
      </w:r>
      <w:r w:rsidR="0005373A">
        <w:rPr>
          <w:rFonts w:cs="Times New Roman"/>
        </w:rPr>
        <w:t xml:space="preserve"> </w:t>
      </w:r>
      <w:r w:rsidR="00210A80">
        <w:rPr>
          <w:rFonts w:cs="Times New Roman"/>
        </w:rPr>
        <w:t>quel</w:t>
      </w:r>
      <w:r w:rsidR="0005373A">
        <w:rPr>
          <w:rFonts w:cs="Times New Roman"/>
        </w:rPr>
        <w:t>la</w:t>
      </w:r>
      <w:r w:rsidR="00210A80">
        <w:rPr>
          <w:rFonts w:cs="Times New Roman"/>
        </w:rPr>
        <w:t xml:space="preserve"> prevista dalla</w:t>
      </w:r>
      <w:r w:rsidR="0005373A">
        <w:rPr>
          <w:rFonts w:cs="Times New Roman"/>
        </w:rPr>
        <w:t xml:space="preserve"> section 10(b)</w:t>
      </w:r>
      <w:r w:rsidR="00C82755">
        <w:rPr>
          <w:rFonts w:cs="Times New Roman"/>
        </w:rPr>
        <w:t xml:space="preserve"> </w:t>
      </w:r>
      <w:r w:rsidR="0005373A">
        <w:rPr>
          <w:rFonts w:cs="Times New Roman"/>
        </w:rPr>
        <w:t xml:space="preserve">del </w:t>
      </w:r>
      <w:r w:rsidR="0090764C">
        <w:rPr>
          <w:rFonts w:cs="Times New Roman"/>
        </w:rPr>
        <w:t>Security and Exchange Act (15 USC 78j)</w:t>
      </w:r>
      <w:r w:rsidR="00E41062">
        <w:rPr>
          <w:rFonts w:cs="Times New Roman"/>
        </w:rPr>
        <w:t xml:space="preserve">, che </w:t>
      </w:r>
      <w:r w:rsidR="00E27F8A">
        <w:rPr>
          <w:rFonts w:cs="Times New Roman"/>
        </w:rPr>
        <w:t>prevede</w:t>
      </w:r>
      <w:r w:rsidR="0005373A">
        <w:rPr>
          <w:rFonts w:cs="Times New Roman"/>
        </w:rPr>
        <w:t xml:space="preserve"> che </w:t>
      </w:r>
      <w:r w:rsidR="00787258">
        <w:rPr>
          <w:rFonts w:cs="Times New Roman"/>
          <w:i/>
        </w:rPr>
        <w:t>«</w:t>
      </w:r>
      <w:r w:rsidR="0005373A" w:rsidRPr="00E41062">
        <w:rPr>
          <w:rFonts w:cs="Times New Roman"/>
          <w:i/>
        </w:rPr>
        <w:t xml:space="preserve">verrà considerato illecito </w:t>
      </w:r>
      <w:r w:rsidR="00E41062" w:rsidRPr="00E41062">
        <w:rPr>
          <w:rFonts w:cs="Times New Roman"/>
          <w:i/>
        </w:rPr>
        <w:t xml:space="preserve"> per ogni persona, direttamente o indirettamente, […] usare o impiegare, in connessione con l’acquisto o la vendita di strumenti finanziari </w:t>
      </w:r>
      <w:r w:rsidR="0005373A" w:rsidRPr="00E41062">
        <w:rPr>
          <w:rFonts w:cs="Times New Roman"/>
          <w:i/>
        </w:rPr>
        <w:t xml:space="preserve">ogni </w:t>
      </w:r>
      <w:r w:rsidR="00E41062" w:rsidRPr="00E41062">
        <w:rPr>
          <w:rFonts w:cs="Times New Roman"/>
          <w:i/>
        </w:rPr>
        <w:t>mezzo</w:t>
      </w:r>
      <w:r w:rsidR="0005373A" w:rsidRPr="00E41062">
        <w:rPr>
          <w:rFonts w:cs="Times New Roman"/>
          <w:i/>
        </w:rPr>
        <w:t xml:space="preserve"> o</w:t>
      </w:r>
      <w:r w:rsidR="00E41062" w:rsidRPr="00E41062">
        <w:rPr>
          <w:rFonts w:cs="Times New Roman"/>
          <w:i/>
        </w:rPr>
        <w:t xml:space="preserve"> congegno</w:t>
      </w:r>
      <w:r w:rsidR="0005373A" w:rsidRPr="00E41062">
        <w:rPr>
          <w:rFonts w:cs="Times New Roman"/>
          <w:i/>
        </w:rPr>
        <w:t xml:space="preserve"> manipolativo o decettivo, </w:t>
      </w:r>
      <w:r w:rsidR="00E41062" w:rsidRPr="00E41062">
        <w:rPr>
          <w:rFonts w:cs="Times New Roman"/>
          <w:i/>
        </w:rPr>
        <w:t xml:space="preserve">in violazione delle regole e dei regolamenti che la </w:t>
      </w:r>
      <w:r w:rsidR="006B362F">
        <w:rPr>
          <w:rFonts w:cs="Times New Roman"/>
          <w:i/>
        </w:rPr>
        <w:t>Commissione [SEC]</w:t>
      </w:r>
      <w:r w:rsidR="00E41062" w:rsidRPr="00E41062">
        <w:rPr>
          <w:rFonts w:cs="Times New Roman"/>
          <w:i/>
        </w:rPr>
        <w:t xml:space="preserve"> potrebbe ritenere necessari o appropriati nell’interesse pubblico o per la protezione degli investitori</w:t>
      </w:r>
      <w:r w:rsidR="00787258">
        <w:rPr>
          <w:rFonts w:cs="Times New Roman"/>
          <w:i/>
        </w:rPr>
        <w:t>»</w:t>
      </w:r>
      <w:r w:rsidR="00E27F8A">
        <w:rPr>
          <w:rStyle w:val="Rimandonotaapidipagina"/>
          <w:rFonts w:cs="Times New Roman"/>
        </w:rPr>
        <w:footnoteReference w:id="94"/>
      </w:r>
      <w:r w:rsidR="00E41062">
        <w:rPr>
          <w:rFonts w:cs="Times New Roman"/>
        </w:rPr>
        <w:t>.</w:t>
      </w:r>
    </w:p>
    <w:p w14:paraId="64234B85" w14:textId="77777777" w:rsidR="00A7145D" w:rsidRPr="00DD597D" w:rsidRDefault="00335ACD" w:rsidP="0074459A">
      <w:pPr>
        <w:spacing w:before="100" w:beforeAutospacing="1" w:after="100" w:afterAutospacing="1" w:line="276" w:lineRule="auto"/>
        <w:ind w:firstLine="454"/>
        <w:rPr>
          <w:rFonts w:cs="Times New Roman"/>
        </w:rPr>
      </w:pPr>
      <w:r>
        <w:rPr>
          <w:rFonts w:cs="Times New Roman"/>
        </w:rPr>
        <w:t xml:space="preserve">Altro elemento caratterizzante il sistema statunitense </w:t>
      </w:r>
      <w:r w:rsidR="006B362F">
        <w:rPr>
          <w:rFonts w:cs="Times New Roman"/>
        </w:rPr>
        <w:t xml:space="preserve">è stata l’istituzione di </w:t>
      </w:r>
      <w:r>
        <w:rPr>
          <w:rFonts w:cs="Times New Roman"/>
        </w:rPr>
        <w:t xml:space="preserve">autorità di settore, </w:t>
      </w:r>
      <w:r w:rsidR="008F442F">
        <w:rPr>
          <w:rFonts w:cs="Times New Roman"/>
        </w:rPr>
        <w:t>qual</w:t>
      </w:r>
      <w:r>
        <w:rPr>
          <w:rFonts w:cs="Times New Roman"/>
        </w:rPr>
        <w:t xml:space="preserve"> è</w:t>
      </w:r>
      <w:r w:rsidR="00333757">
        <w:rPr>
          <w:rFonts w:cs="Times New Roman"/>
        </w:rPr>
        <w:t xml:space="preserve"> la menzionata</w:t>
      </w:r>
      <w:r>
        <w:rPr>
          <w:rFonts w:cs="Times New Roman"/>
        </w:rPr>
        <w:t xml:space="preserve"> </w:t>
      </w:r>
      <w:r w:rsidRPr="00934455">
        <w:rPr>
          <w:rFonts w:cs="Times New Roman"/>
          <w:i/>
        </w:rPr>
        <w:t>Security and Exchange Commission</w:t>
      </w:r>
      <w:r>
        <w:rPr>
          <w:rFonts w:cs="Times New Roman"/>
        </w:rPr>
        <w:t xml:space="preserve"> (SEC), a cui si affianca la </w:t>
      </w:r>
      <w:r w:rsidRPr="00934455">
        <w:rPr>
          <w:rFonts w:cs="Times New Roman"/>
          <w:i/>
        </w:rPr>
        <w:t>Commodity Futures Trading Commission</w:t>
      </w:r>
      <w:r w:rsidR="00161ADA">
        <w:rPr>
          <w:rFonts w:cs="Times New Roman"/>
        </w:rPr>
        <w:t xml:space="preserve"> (CFTC) per quanto riguar</w:t>
      </w:r>
      <w:r>
        <w:rPr>
          <w:rFonts w:cs="Times New Roman"/>
        </w:rPr>
        <w:t xml:space="preserve">da i </w:t>
      </w:r>
      <w:r w:rsidRPr="00335ACD">
        <w:rPr>
          <w:rFonts w:cs="Times New Roman"/>
          <w:i/>
        </w:rPr>
        <w:t>futures</w:t>
      </w:r>
      <w:r>
        <w:rPr>
          <w:rFonts w:cs="Times New Roman"/>
        </w:rPr>
        <w:t xml:space="preserve"> </w:t>
      </w:r>
      <w:r w:rsidR="00DD597D">
        <w:rPr>
          <w:rFonts w:cs="Times New Roman"/>
        </w:rPr>
        <w:t>e dei</w:t>
      </w:r>
      <w:r>
        <w:rPr>
          <w:rFonts w:cs="Times New Roman"/>
        </w:rPr>
        <w:t xml:space="preserve"> titoli derivati. A tali autorità è delegata l’attività di normazione secondaria, che </w:t>
      </w:r>
      <w:r w:rsidR="00333757">
        <w:rPr>
          <w:rFonts w:cs="Times New Roman"/>
        </w:rPr>
        <w:t>integra</w:t>
      </w:r>
      <w:r w:rsidR="00161ADA">
        <w:rPr>
          <w:rFonts w:cs="Times New Roman"/>
        </w:rPr>
        <w:t xml:space="preserve"> le cla</w:t>
      </w:r>
      <w:r w:rsidR="00161ADA" w:rsidRPr="00DD597D">
        <w:rPr>
          <w:rFonts w:cs="Times New Roman"/>
        </w:rPr>
        <w:t>usole generali previste dalla legge con propri regolamenti, ovvero attraverso l’applicazione</w:t>
      </w:r>
      <w:r w:rsidR="00333757">
        <w:rPr>
          <w:rFonts w:cs="Times New Roman"/>
        </w:rPr>
        <w:t xml:space="preserve"> </w:t>
      </w:r>
      <w:r w:rsidR="00161ADA" w:rsidRPr="00DD597D">
        <w:rPr>
          <w:rFonts w:cs="Times New Roman"/>
        </w:rPr>
        <w:t>delle norme, suscettibile di creare una forma di precedente</w:t>
      </w:r>
      <w:r w:rsidR="00333757">
        <w:rPr>
          <w:rFonts w:cs="Times New Roman"/>
        </w:rPr>
        <w:t xml:space="preserve"> aventi autorevolezza normativa</w:t>
      </w:r>
      <w:r w:rsidR="00825ADB" w:rsidRPr="00DD597D">
        <w:rPr>
          <w:rStyle w:val="Rimandonotaapidipagina"/>
          <w:rFonts w:cs="Times New Roman"/>
        </w:rPr>
        <w:footnoteReference w:id="95"/>
      </w:r>
      <w:r w:rsidR="00161ADA" w:rsidRPr="00DD597D">
        <w:rPr>
          <w:rFonts w:cs="Times New Roman"/>
        </w:rPr>
        <w:t>.</w:t>
      </w:r>
    </w:p>
    <w:p w14:paraId="391528CD" w14:textId="77777777" w:rsidR="00A7145D" w:rsidRPr="00DD597D" w:rsidRDefault="00DD597D" w:rsidP="0074459A">
      <w:pPr>
        <w:autoSpaceDE w:val="0"/>
        <w:autoSpaceDN w:val="0"/>
        <w:adjustRightInd w:val="0"/>
        <w:spacing w:after="100" w:afterAutospacing="1" w:line="276" w:lineRule="auto"/>
        <w:ind w:firstLine="454"/>
        <w:rPr>
          <w:rFonts w:cs="Times New Roman"/>
        </w:rPr>
      </w:pPr>
      <w:r w:rsidRPr="00DD597D">
        <w:rPr>
          <w:rFonts w:cs="Times New Roman"/>
        </w:rPr>
        <w:t>Quanto alla definizione di manipolazione di mercato</w:t>
      </w:r>
      <w:r w:rsidR="00333757">
        <w:rPr>
          <w:rFonts w:cs="Times New Roman"/>
        </w:rPr>
        <w:t>, la</w:t>
      </w:r>
      <w:r w:rsidR="00A7145D" w:rsidRPr="00DD597D">
        <w:rPr>
          <w:rFonts w:cs="Times New Roman"/>
        </w:rPr>
        <w:t xml:space="preserve"> </w:t>
      </w:r>
      <w:r w:rsidRPr="00DD597D">
        <w:rPr>
          <w:rFonts w:cs="Times New Roman"/>
        </w:rPr>
        <w:t>giurisprudenza</w:t>
      </w:r>
      <w:r w:rsidR="00A7145D" w:rsidRPr="00DD597D">
        <w:rPr>
          <w:rFonts w:cs="Times New Roman"/>
        </w:rPr>
        <w:t xml:space="preserve"> </w:t>
      </w:r>
      <w:r w:rsidRPr="00DD597D">
        <w:rPr>
          <w:rFonts w:cs="Times New Roman"/>
        </w:rPr>
        <w:t>statunitense</w:t>
      </w:r>
      <w:r w:rsidRPr="00DD597D">
        <w:rPr>
          <w:rStyle w:val="Rimandonotaapidipagina"/>
          <w:rFonts w:cs="Times New Roman"/>
        </w:rPr>
        <w:footnoteReference w:id="96"/>
      </w:r>
      <w:r w:rsidR="00333757">
        <w:rPr>
          <w:rFonts w:cs="Times New Roman"/>
        </w:rPr>
        <w:t xml:space="preserve"> ha</w:t>
      </w:r>
      <w:r w:rsidR="00A7145D" w:rsidRPr="00DD597D">
        <w:rPr>
          <w:rFonts w:cs="Times New Roman"/>
        </w:rPr>
        <w:t xml:space="preserve"> enucleato una serie di criteri per distinguere la legittima speculazione dalla condotta manipolativa:</w:t>
      </w:r>
    </w:p>
    <w:p w14:paraId="7BCB0122" w14:textId="77777777" w:rsidR="00A7145D" w:rsidRPr="00DD597D" w:rsidRDefault="00A7145D" w:rsidP="0074459A">
      <w:pPr>
        <w:autoSpaceDE w:val="0"/>
        <w:autoSpaceDN w:val="0"/>
        <w:adjustRightInd w:val="0"/>
        <w:spacing w:after="100" w:afterAutospacing="1" w:line="276" w:lineRule="auto"/>
        <w:ind w:firstLine="454"/>
        <w:rPr>
          <w:rFonts w:cs="Times New Roman"/>
        </w:rPr>
      </w:pPr>
      <w:r w:rsidRPr="00DD597D">
        <w:rPr>
          <w:rFonts w:cs="Times New Roman"/>
        </w:rPr>
        <w:t xml:space="preserve">a) </w:t>
      </w:r>
      <w:r w:rsidR="00DD597D">
        <w:rPr>
          <w:rFonts w:cs="Times New Roman"/>
        </w:rPr>
        <w:t xml:space="preserve">l’esistenza di un </w:t>
      </w:r>
      <w:r w:rsidR="00333757">
        <w:rPr>
          <w:rFonts w:cs="Times New Roman"/>
        </w:rPr>
        <w:t>“prezzo artificiale”</w:t>
      </w:r>
      <w:r w:rsidRPr="00DD597D">
        <w:rPr>
          <w:rFonts w:cs="Times New Roman"/>
        </w:rPr>
        <w:t xml:space="preserve"> </w:t>
      </w:r>
      <w:r w:rsidR="00DD597D">
        <w:rPr>
          <w:rFonts w:cs="Times New Roman"/>
        </w:rPr>
        <w:t>al tempo della manipolazione</w:t>
      </w:r>
      <w:r w:rsidRPr="00DD597D">
        <w:rPr>
          <w:rFonts w:cs="Times New Roman"/>
        </w:rPr>
        <w:t>;</w:t>
      </w:r>
    </w:p>
    <w:p w14:paraId="35F76C30" w14:textId="77777777" w:rsidR="00A7145D" w:rsidRPr="00DD597D" w:rsidRDefault="00A7145D" w:rsidP="0074459A">
      <w:pPr>
        <w:autoSpaceDE w:val="0"/>
        <w:autoSpaceDN w:val="0"/>
        <w:adjustRightInd w:val="0"/>
        <w:spacing w:after="100" w:afterAutospacing="1" w:line="276" w:lineRule="auto"/>
        <w:ind w:firstLine="454"/>
        <w:rPr>
          <w:rFonts w:cs="Times New Roman"/>
        </w:rPr>
      </w:pPr>
      <w:r w:rsidRPr="00DD597D">
        <w:rPr>
          <w:rFonts w:cs="Times New Roman"/>
        </w:rPr>
        <w:t xml:space="preserve">b) </w:t>
      </w:r>
      <w:r w:rsidR="00333757">
        <w:rPr>
          <w:rFonts w:cs="Times New Roman"/>
        </w:rPr>
        <w:t xml:space="preserve">la circostanza che </w:t>
      </w:r>
      <w:r w:rsidR="006B0480">
        <w:rPr>
          <w:rFonts w:cs="Times New Roman"/>
        </w:rPr>
        <w:t>l’agente</w:t>
      </w:r>
      <w:r w:rsidRPr="00DD597D">
        <w:rPr>
          <w:rFonts w:cs="Times New Roman"/>
        </w:rPr>
        <w:t xml:space="preserve"> ha causato </w:t>
      </w:r>
      <w:r w:rsidR="00333757">
        <w:rPr>
          <w:rFonts w:cs="Times New Roman"/>
        </w:rPr>
        <w:t>tale</w:t>
      </w:r>
      <w:r w:rsidRPr="00DD597D">
        <w:rPr>
          <w:rFonts w:cs="Times New Roman"/>
        </w:rPr>
        <w:t xml:space="preserve"> prezzo artificiale; </w:t>
      </w:r>
    </w:p>
    <w:p w14:paraId="6FFE4A92" w14:textId="77777777" w:rsidR="00A7145D" w:rsidRPr="00DD597D" w:rsidRDefault="00A7145D" w:rsidP="0074459A">
      <w:pPr>
        <w:autoSpaceDE w:val="0"/>
        <w:autoSpaceDN w:val="0"/>
        <w:adjustRightInd w:val="0"/>
        <w:spacing w:after="100" w:afterAutospacing="1" w:line="276" w:lineRule="auto"/>
        <w:ind w:firstLine="454"/>
        <w:rPr>
          <w:rFonts w:cs="Times New Roman"/>
        </w:rPr>
      </w:pPr>
      <w:r w:rsidRPr="00DD597D">
        <w:rPr>
          <w:rFonts w:cs="Times New Roman"/>
        </w:rPr>
        <w:t xml:space="preserve">c) </w:t>
      </w:r>
      <w:r w:rsidR="00333757">
        <w:rPr>
          <w:rFonts w:cs="Times New Roman"/>
        </w:rPr>
        <w:t>l’intenzionalità del</w:t>
      </w:r>
      <w:r w:rsidR="006B0480">
        <w:rPr>
          <w:rFonts w:cs="Times New Roman"/>
        </w:rPr>
        <w:t>l’agente</w:t>
      </w:r>
      <w:r w:rsidRPr="00DD597D">
        <w:rPr>
          <w:rFonts w:cs="Times New Roman"/>
        </w:rPr>
        <w:t xml:space="preserve"> </w:t>
      </w:r>
      <w:r w:rsidR="00333757">
        <w:rPr>
          <w:rFonts w:cs="Times New Roman"/>
        </w:rPr>
        <w:t>nel causare</w:t>
      </w:r>
      <w:r w:rsidRPr="00DD597D">
        <w:rPr>
          <w:rFonts w:cs="Times New Roman"/>
        </w:rPr>
        <w:t xml:space="preserve"> </w:t>
      </w:r>
      <w:r w:rsidR="006B0480">
        <w:rPr>
          <w:rFonts w:cs="Times New Roman"/>
        </w:rPr>
        <w:t>tale</w:t>
      </w:r>
      <w:r w:rsidRPr="00DD597D">
        <w:rPr>
          <w:rFonts w:cs="Times New Roman"/>
        </w:rPr>
        <w:t xml:space="preserve"> prezzo artificiale</w:t>
      </w:r>
      <w:r w:rsidR="006B0480">
        <w:rPr>
          <w:rFonts w:cs="Times New Roman"/>
        </w:rPr>
        <w:t>.</w:t>
      </w:r>
    </w:p>
    <w:p w14:paraId="097FBAC7" w14:textId="77777777" w:rsidR="00161ADA" w:rsidRDefault="00333757" w:rsidP="0074459A">
      <w:pPr>
        <w:autoSpaceDE w:val="0"/>
        <w:autoSpaceDN w:val="0"/>
        <w:adjustRightInd w:val="0"/>
        <w:spacing w:after="100" w:afterAutospacing="1" w:line="276" w:lineRule="auto"/>
        <w:ind w:firstLine="454"/>
        <w:rPr>
          <w:rFonts w:cs="Times New Roman"/>
        </w:rPr>
      </w:pPr>
      <w:r>
        <w:rPr>
          <w:rFonts w:cs="Times New Roman"/>
        </w:rPr>
        <w:t>Il</w:t>
      </w:r>
      <w:r w:rsidR="008F442F" w:rsidRPr="00DD597D">
        <w:rPr>
          <w:rFonts w:cs="Times New Roman"/>
        </w:rPr>
        <w:t xml:space="preserve"> sistema, sebbene</w:t>
      </w:r>
      <w:r w:rsidR="00161ADA" w:rsidRPr="00DD597D">
        <w:rPr>
          <w:rFonts w:cs="Times New Roman"/>
        </w:rPr>
        <w:t xml:space="preserve"> </w:t>
      </w:r>
      <w:r w:rsidR="008F442F" w:rsidRPr="00DD597D">
        <w:rPr>
          <w:rFonts w:cs="Times New Roman"/>
        </w:rPr>
        <w:t>abbia dimostrato</w:t>
      </w:r>
      <w:r w:rsidR="00161ADA" w:rsidRPr="00DD597D">
        <w:rPr>
          <w:rFonts w:cs="Times New Roman"/>
        </w:rPr>
        <w:t xml:space="preserve"> la sua efficienza</w:t>
      </w:r>
      <w:r>
        <w:rPr>
          <w:rFonts w:cs="Times New Roman"/>
        </w:rPr>
        <w:t>,</w:t>
      </w:r>
      <w:r w:rsidR="00161ADA" w:rsidRPr="00DD597D">
        <w:rPr>
          <w:rFonts w:cs="Times New Roman"/>
        </w:rPr>
        <w:t xml:space="preserve"> rinnovandosi con l’evolversi della realtà dei mercati finanziari, non è</w:t>
      </w:r>
      <w:r>
        <w:rPr>
          <w:rFonts w:cs="Times New Roman"/>
        </w:rPr>
        <w:t xml:space="preserve"> però</w:t>
      </w:r>
      <w:r w:rsidR="00161ADA" w:rsidRPr="00DD597D">
        <w:rPr>
          <w:rFonts w:cs="Times New Roman"/>
        </w:rPr>
        <w:t xml:space="preserve"> esente da critiche. In primo luogo</w:t>
      </w:r>
      <w:r w:rsidR="0051583A" w:rsidRPr="00DD597D">
        <w:rPr>
          <w:rFonts w:cs="Times New Roman"/>
        </w:rPr>
        <w:t>,</w:t>
      </w:r>
      <w:r w:rsidR="00161ADA" w:rsidRPr="00DD597D">
        <w:rPr>
          <w:rFonts w:cs="Times New Roman"/>
        </w:rPr>
        <w:t xml:space="preserve"> si può notare che esso, per il </w:t>
      </w:r>
      <w:r w:rsidR="00161ADA">
        <w:rPr>
          <w:rFonts w:cs="Times New Roman"/>
        </w:rPr>
        <w:t>suo tecnici</w:t>
      </w:r>
      <w:r>
        <w:rPr>
          <w:rFonts w:cs="Times New Roman"/>
        </w:rPr>
        <w:t>smo, implica</w:t>
      </w:r>
      <w:r w:rsidR="0051583A">
        <w:rPr>
          <w:rFonts w:cs="Times New Roman"/>
        </w:rPr>
        <w:t xml:space="preserve"> un inevitabile</w:t>
      </w:r>
      <w:r w:rsidR="00161ADA">
        <w:rPr>
          <w:rFonts w:cs="Times New Roman"/>
        </w:rPr>
        <w:t xml:space="preserve"> spostamento del potere decisionale</w:t>
      </w:r>
      <w:r w:rsidR="0051583A">
        <w:rPr>
          <w:rFonts w:cs="Times New Roman"/>
        </w:rPr>
        <w:t xml:space="preserve"> di stabilire il confine tra lecito e illecito dalle istituzioni democratiche a quelle tecniche.</w:t>
      </w:r>
      <w:r w:rsidR="008F442F">
        <w:rPr>
          <w:rFonts w:cs="Times New Roman"/>
        </w:rPr>
        <w:t xml:space="preserve"> Il fenomeno si deve peraltro inquadrare nel</w:t>
      </w:r>
      <w:r>
        <w:rPr>
          <w:rFonts w:cs="Times New Roman"/>
        </w:rPr>
        <w:t xml:space="preserve">la tendenza </w:t>
      </w:r>
      <w:r w:rsidR="008F442F">
        <w:rPr>
          <w:rFonts w:cs="Times New Roman"/>
        </w:rPr>
        <w:t xml:space="preserve">della </w:t>
      </w:r>
      <w:r>
        <w:rPr>
          <w:rFonts w:cs="Times New Roman"/>
        </w:rPr>
        <w:t>c.d. “</w:t>
      </w:r>
      <w:r w:rsidR="008F442F">
        <w:rPr>
          <w:rFonts w:cs="Times New Roman"/>
        </w:rPr>
        <w:t>crisi della legge</w:t>
      </w:r>
      <w:r>
        <w:rPr>
          <w:rFonts w:cs="Times New Roman"/>
        </w:rPr>
        <w:t>”, che ha visto prevalere, negli ultimi decenni, norme di carattere tecnico</w:t>
      </w:r>
      <w:r w:rsidR="00F360C6">
        <w:rPr>
          <w:rFonts w:cs="Times New Roman"/>
        </w:rPr>
        <w:t xml:space="preserve"> sulla legge generale ed astratta</w:t>
      </w:r>
      <w:r w:rsidR="008F442F">
        <w:rPr>
          <w:rFonts w:cs="Times New Roman"/>
        </w:rPr>
        <w:t>.</w:t>
      </w:r>
    </w:p>
    <w:p w14:paraId="042D21F7" w14:textId="77777777" w:rsidR="00934455" w:rsidRPr="00E41062" w:rsidRDefault="0051583A" w:rsidP="0074459A">
      <w:pPr>
        <w:autoSpaceDE w:val="0"/>
        <w:autoSpaceDN w:val="0"/>
        <w:adjustRightInd w:val="0"/>
        <w:spacing w:after="100" w:afterAutospacing="1" w:line="276" w:lineRule="auto"/>
        <w:ind w:firstLine="454"/>
        <w:rPr>
          <w:rFonts w:cs="Times New Roman"/>
          <w:bCs/>
          <w:i/>
          <w:sz w:val="20"/>
          <w:szCs w:val="20"/>
          <w:lang w:val="en-US"/>
        </w:rPr>
      </w:pPr>
      <w:r>
        <w:rPr>
          <w:rFonts w:cs="Times New Roman"/>
        </w:rPr>
        <w:t>In secondo luogo, nonostante un certo tasso di variabilità nelle norme</w:t>
      </w:r>
      <w:r w:rsidR="00411054">
        <w:rPr>
          <w:rFonts w:cs="Times New Roman"/>
        </w:rPr>
        <w:t xml:space="preserve"> secondarie</w:t>
      </w:r>
      <w:r>
        <w:rPr>
          <w:rFonts w:cs="Times New Roman"/>
        </w:rPr>
        <w:t xml:space="preserve"> e</w:t>
      </w:r>
      <w:r w:rsidR="00411054">
        <w:rPr>
          <w:rFonts w:cs="Times New Roman"/>
        </w:rPr>
        <w:t xml:space="preserve">, conseguentemente, della complessiva interpretazione del quadro ordinamentale </w:t>
      </w:r>
      <w:r w:rsidR="003C6DC1">
        <w:rPr>
          <w:rFonts w:cs="Times New Roman"/>
        </w:rPr>
        <w:t>sia</w:t>
      </w:r>
      <w:r>
        <w:rPr>
          <w:rFonts w:cs="Times New Roman"/>
        </w:rPr>
        <w:t xml:space="preserve"> connaturato anche al </w:t>
      </w:r>
      <w:r w:rsidR="003C6DC1">
        <w:rPr>
          <w:rFonts w:cs="Times New Roman"/>
        </w:rPr>
        <w:t>diritto italiano e anzi lo renda</w:t>
      </w:r>
      <w:r>
        <w:rPr>
          <w:rFonts w:cs="Times New Roman"/>
        </w:rPr>
        <w:t xml:space="preserve"> attuale rispetto alla</w:t>
      </w:r>
      <w:r w:rsidR="003C6DC1">
        <w:rPr>
          <w:rFonts w:cs="Times New Roman"/>
        </w:rPr>
        <w:t xml:space="preserve"> mutevole</w:t>
      </w:r>
      <w:r>
        <w:rPr>
          <w:rFonts w:cs="Times New Roman"/>
        </w:rPr>
        <w:t xml:space="preserve"> realtà sociale, </w:t>
      </w:r>
      <w:r w:rsidR="003C6DC1">
        <w:rPr>
          <w:rFonts w:cs="Times New Roman"/>
        </w:rPr>
        <w:t>un cambiamento di</w:t>
      </w:r>
      <w:r>
        <w:rPr>
          <w:rFonts w:cs="Times New Roman"/>
        </w:rPr>
        <w:t xml:space="preserve"> interpretazione </w:t>
      </w:r>
      <w:r w:rsidR="00825ADB">
        <w:rPr>
          <w:rFonts w:cs="Times New Roman"/>
        </w:rPr>
        <w:t>in senso sfavorevole</w:t>
      </w:r>
      <w:r w:rsidR="00411054">
        <w:rPr>
          <w:rFonts w:cs="Times New Roman"/>
        </w:rPr>
        <w:t xml:space="preserve"> all’indagato</w:t>
      </w:r>
      <w:r>
        <w:rPr>
          <w:rFonts w:cs="Times New Roman"/>
        </w:rPr>
        <w:t xml:space="preserve"> porterebbe a ben altri effetti</w:t>
      </w:r>
      <w:r w:rsidR="003C6DC1">
        <w:rPr>
          <w:rFonts w:cs="Times New Roman"/>
        </w:rPr>
        <w:t xml:space="preserve"> nel nostro ordinamento. </w:t>
      </w:r>
      <w:r>
        <w:rPr>
          <w:rFonts w:cs="Times New Roman"/>
        </w:rPr>
        <w:t>Se infatti</w:t>
      </w:r>
      <w:r w:rsidR="003C6DC1">
        <w:rPr>
          <w:rFonts w:cs="Times New Roman"/>
        </w:rPr>
        <w:t xml:space="preserve"> il diritto statunitense </w:t>
      </w:r>
      <w:r w:rsidR="00825ADB">
        <w:rPr>
          <w:rFonts w:cs="Times New Roman"/>
        </w:rPr>
        <w:t>impedisce</w:t>
      </w:r>
      <w:r w:rsidR="003C6DC1">
        <w:rPr>
          <w:rFonts w:cs="Times New Roman"/>
        </w:rPr>
        <w:t xml:space="preserve"> </w:t>
      </w:r>
      <w:r w:rsidR="00825ADB">
        <w:rPr>
          <w:rFonts w:cs="Times New Roman"/>
        </w:rPr>
        <w:t>la</w:t>
      </w:r>
      <w:r w:rsidR="003C6DC1">
        <w:rPr>
          <w:rFonts w:cs="Times New Roman"/>
        </w:rPr>
        <w:t xml:space="preserve"> retroattiv</w:t>
      </w:r>
      <w:r w:rsidR="00825ADB">
        <w:rPr>
          <w:rFonts w:cs="Times New Roman"/>
        </w:rPr>
        <w:t>ità</w:t>
      </w:r>
      <w:r w:rsidR="003C6DC1">
        <w:rPr>
          <w:rFonts w:cs="Times New Roman"/>
        </w:rPr>
        <w:t xml:space="preserve"> </w:t>
      </w:r>
      <w:r w:rsidR="00825ADB">
        <w:rPr>
          <w:rFonts w:cs="Times New Roman"/>
        </w:rPr>
        <w:t>con l’istituto dell’</w:t>
      </w:r>
      <w:r w:rsidR="003C6DC1">
        <w:rPr>
          <w:rFonts w:cs="Times New Roman"/>
        </w:rPr>
        <w:t>“</w:t>
      </w:r>
      <w:r w:rsidR="00825ADB">
        <w:rPr>
          <w:rFonts w:cs="Times New Roman"/>
          <w:i/>
        </w:rPr>
        <w:t>mistake of law</w:t>
      </w:r>
      <w:r w:rsidR="003C6DC1">
        <w:rPr>
          <w:rFonts w:cs="Times New Roman"/>
          <w:i/>
        </w:rPr>
        <w:t>”</w:t>
      </w:r>
      <w:r w:rsidR="003C6DC1">
        <w:rPr>
          <w:rFonts w:cs="Times New Roman"/>
        </w:rPr>
        <w:t xml:space="preserve">, </w:t>
      </w:r>
      <w:r w:rsidR="00825ADB">
        <w:rPr>
          <w:rFonts w:cs="Times New Roman"/>
        </w:rPr>
        <w:t>che nega l’elemento soggettivo del reato in presenza di un</w:t>
      </w:r>
      <w:r w:rsidR="003C6DC1">
        <w:rPr>
          <w:rFonts w:cs="Times New Roman"/>
        </w:rPr>
        <w:t xml:space="preserve"> cambiamento di orientamento giurisprudenziale</w:t>
      </w:r>
      <w:r w:rsidR="00825ADB">
        <w:rPr>
          <w:rFonts w:cs="Times New Roman"/>
        </w:rPr>
        <w:t xml:space="preserve"> in senso sfavorevole per l’imputato</w:t>
      </w:r>
      <w:r w:rsidR="003C6DC1">
        <w:rPr>
          <w:rFonts w:cs="Times New Roman"/>
        </w:rPr>
        <w:t xml:space="preserve">, nei paesi di </w:t>
      </w:r>
      <w:r w:rsidR="003C6DC1" w:rsidRPr="003C6DC1">
        <w:rPr>
          <w:rFonts w:cs="Times New Roman"/>
          <w:i/>
        </w:rPr>
        <w:t>civil law</w:t>
      </w:r>
      <w:r w:rsidR="003C6DC1">
        <w:rPr>
          <w:rFonts w:cs="Times New Roman"/>
        </w:rPr>
        <w:t xml:space="preserve"> la garanzia analoga</w:t>
      </w:r>
      <w:r w:rsidR="00825ADB">
        <w:rPr>
          <w:rFonts w:cs="Times New Roman"/>
        </w:rPr>
        <w:t>, generalmente</w:t>
      </w:r>
      <w:r w:rsidR="003C6DC1">
        <w:rPr>
          <w:rFonts w:cs="Times New Roman"/>
        </w:rPr>
        <w:t xml:space="preserve"> costituita dal</w:t>
      </w:r>
      <w:r w:rsidR="00825ADB">
        <w:rPr>
          <w:rFonts w:cs="Times New Roman"/>
        </w:rPr>
        <w:t xml:space="preserve"> divieto di applicazione retroattiva della legge, </w:t>
      </w:r>
      <w:r w:rsidR="00411054">
        <w:rPr>
          <w:rFonts w:cs="Times New Roman"/>
        </w:rPr>
        <w:t>viene</w:t>
      </w:r>
      <w:r w:rsidR="00825ADB">
        <w:rPr>
          <w:rFonts w:cs="Times New Roman"/>
        </w:rPr>
        <w:t xml:space="preserve"> svuotata </w:t>
      </w:r>
      <w:r w:rsidR="008F442F">
        <w:rPr>
          <w:rFonts w:cs="Times New Roman"/>
        </w:rPr>
        <w:t xml:space="preserve">di fatto </w:t>
      </w:r>
      <w:r w:rsidR="00825ADB">
        <w:rPr>
          <w:rFonts w:cs="Times New Roman"/>
        </w:rPr>
        <w:t>dalla</w:t>
      </w:r>
      <w:r w:rsidR="00411054">
        <w:rPr>
          <w:rFonts w:cs="Times New Roman"/>
        </w:rPr>
        <w:t xml:space="preserve"> circostanza che non muta la legge penale, ma la</w:t>
      </w:r>
      <w:r w:rsidR="00825ADB">
        <w:rPr>
          <w:rFonts w:cs="Times New Roman"/>
        </w:rPr>
        <w:t xml:space="preserve"> normativa secondaria</w:t>
      </w:r>
      <w:r w:rsidR="00E551DA">
        <w:rPr>
          <w:rFonts w:cs="Times New Roman"/>
        </w:rPr>
        <w:t xml:space="preserve"> che viene presa in considerazione per valutare l’illiceità del comportamento sotto accusa</w:t>
      </w:r>
      <w:r w:rsidR="008F442F">
        <w:rPr>
          <w:rStyle w:val="Rimandonotaapidipagina"/>
          <w:rFonts w:cs="Times New Roman"/>
        </w:rPr>
        <w:footnoteReference w:id="97"/>
      </w:r>
      <w:r w:rsidR="00825ADB">
        <w:rPr>
          <w:rFonts w:cs="Times New Roman"/>
        </w:rPr>
        <w:t>.</w:t>
      </w:r>
    </w:p>
    <w:p w14:paraId="527CA0A6" w14:textId="4A534EEA" w:rsidR="00725187" w:rsidRPr="002F10A2" w:rsidRDefault="00041083" w:rsidP="0074459A">
      <w:pPr>
        <w:pStyle w:val="Titolo2"/>
        <w:numPr>
          <w:ilvl w:val="0"/>
          <w:numId w:val="22"/>
        </w:numPr>
      </w:pPr>
      <w:bookmarkStart w:id="18" w:name="_Toc272493055"/>
      <w:r w:rsidRPr="002F10A2">
        <w:t xml:space="preserve">La </w:t>
      </w:r>
      <w:r w:rsidR="00D343B3">
        <w:t>Direttiva</w:t>
      </w:r>
      <w:r w:rsidRPr="002F10A2">
        <w:t xml:space="preserve"> 2003/6/CE</w:t>
      </w:r>
      <w:r w:rsidR="00310A10">
        <w:t xml:space="preserve"> e il suo quadro istituzionale di riferimento</w:t>
      </w:r>
      <w:bookmarkEnd w:id="18"/>
    </w:p>
    <w:p w14:paraId="122BE8AF" w14:textId="77777777" w:rsidR="00725187" w:rsidRDefault="001A53CE" w:rsidP="0074459A">
      <w:pPr>
        <w:spacing w:before="100" w:beforeAutospacing="1" w:line="276" w:lineRule="auto"/>
        <w:ind w:firstLine="454"/>
        <w:rPr>
          <w:rFonts w:cs="Times New Roman"/>
        </w:rPr>
      </w:pPr>
      <w:r>
        <w:rPr>
          <w:rFonts w:cs="Times New Roman"/>
        </w:rPr>
        <w:t xml:space="preserve">La genesi della </w:t>
      </w:r>
      <w:r w:rsidR="00310A10">
        <w:rPr>
          <w:rFonts w:cs="Times New Roman"/>
        </w:rPr>
        <w:t>normativa europea</w:t>
      </w:r>
      <w:r>
        <w:rPr>
          <w:rFonts w:cs="Times New Roman"/>
        </w:rPr>
        <w:t xml:space="preserve">, le cui radici ideologiche, </w:t>
      </w:r>
      <w:r w:rsidR="00460EA3">
        <w:rPr>
          <w:rFonts w:cs="Times New Roman"/>
        </w:rPr>
        <w:t>come visto</w:t>
      </w:r>
      <w:r>
        <w:rPr>
          <w:rFonts w:cs="Times New Roman"/>
        </w:rPr>
        <w:t xml:space="preserve">, risiedono nel diritto statunitense, si ha con </w:t>
      </w:r>
      <w:r w:rsidR="00D85B4F">
        <w:rPr>
          <w:rFonts w:cs="Times New Roman"/>
        </w:rPr>
        <w:t xml:space="preserve">il </w:t>
      </w:r>
      <w:r w:rsidRPr="00D85B4F">
        <w:rPr>
          <w:rFonts w:cs="Times New Roman"/>
          <w:i/>
        </w:rPr>
        <w:t>Piano di azione per i servizi finanziari</w:t>
      </w:r>
      <w:r>
        <w:rPr>
          <w:rFonts w:cs="Times New Roman"/>
        </w:rPr>
        <w:t xml:space="preserve"> della Commissione europea del 199</w:t>
      </w:r>
      <w:r w:rsidR="001C0492">
        <w:rPr>
          <w:rFonts w:cs="Times New Roman"/>
        </w:rPr>
        <w:t xml:space="preserve">9 e il </w:t>
      </w:r>
      <w:r w:rsidR="001C0492" w:rsidRPr="00D85B4F">
        <w:rPr>
          <w:rFonts w:cs="Times New Roman"/>
          <w:i/>
        </w:rPr>
        <w:t>Rapporto Lam</w:t>
      </w:r>
      <w:r w:rsidRPr="00D85B4F">
        <w:rPr>
          <w:rFonts w:cs="Times New Roman"/>
          <w:i/>
        </w:rPr>
        <w:t>falussy</w:t>
      </w:r>
      <w:r w:rsidR="00BF6394">
        <w:rPr>
          <w:rFonts w:cs="Times New Roman"/>
        </w:rPr>
        <w:t xml:space="preserve"> del 2001, che si proponevano di rivedere quanto contenuto nella precedente </w:t>
      </w:r>
      <w:r w:rsidR="00D343B3">
        <w:rPr>
          <w:rFonts w:cs="Times New Roman"/>
        </w:rPr>
        <w:t>Direttiva</w:t>
      </w:r>
      <w:r w:rsidR="00BF6394">
        <w:rPr>
          <w:rFonts w:cs="Times New Roman"/>
        </w:rPr>
        <w:t xml:space="preserve"> 1989/592/CEE con una nuova </w:t>
      </w:r>
      <w:r w:rsidR="00D343B3">
        <w:rPr>
          <w:rFonts w:cs="Times New Roman"/>
        </w:rPr>
        <w:t>Direttiva</w:t>
      </w:r>
      <w:r>
        <w:rPr>
          <w:rFonts w:cs="Times New Roman"/>
        </w:rPr>
        <w:t xml:space="preserve">. </w:t>
      </w:r>
      <w:r w:rsidR="00232E8A">
        <w:rPr>
          <w:rFonts w:cs="Times New Roman"/>
        </w:rPr>
        <w:t xml:space="preserve">La </w:t>
      </w:r>
      <w:r w:rsidR="00D343B3">
        <w:rPr>
          <w:rFonts w:cs="Times New Roman"/>
        </w:rPr>
        <w:t>Direttiva</w:t>
      </w:r>
      <w:r w:rsidR="00232E8A">
        <w:rPr>
          <w:rFonts w:cs="Times New Roman"/>
        </w:rPr>
        <w:t xml:space="preserve"> 2003/6/CE </w:t>
      </w:r>
      <w:r w:rsidR="00BF6394">
        <w:rPr>
          <w:rFonts w:cs="Times New Roman"/>
        </w:rPr>
        <w:t>dà seguito a tale intento</w:t>
      </w:r>
      <w:r w:rsidR="00D85B4F">
        <w:rPr>
          <w:rFonts w:cs="Times New Roman"/>
        </w:rPr>
        <w:t>,</w:t>
      </w:r>
      <w:r w:rsidR="00BF6394">
        <w:rPr>
          <w:rFonts w:cs="Times New Roman"/>
        </w:rPr>
        <w:t xml:space="preserve"> </w:t>
      </w:r>
      <w:r w:rsidR="00903158">
        <w:rPr>
          <w:rFonts w:cs="Times New Roman"/>
        </w:rPr>
        <w:t>crea</w:t>
      </w:r>
      <w:r w:rsidR="00BF6394">
        <w:rPr>
          <w:rFonts w:cs="Times New Roman"/>
        </w:rPr>
        <w:t>ndo</w:t>
      </w:r>
      <w:r w:rsidR="00903158">
        <w:rPr>
          <w:rFonts w:cs="Times New Roman"/>
        </w:rPr>
        <w:t xml:space="preserve"> un mercato unico dei servizi finanziari integrato ed efficiente, verso il quale il pubblico nutra fiducia. Funzionale ad esso è la repressione dei fenomeni di abuso di mercato</w:t>
      </w:r>
      <w:r w:rsidR="00BF6394">
        <w:rPr>
          <w:rFonts w:cs="Times New Roman"/>
        </w:rPr>
        <w:t>, secondo norme comuni in tutta Europa</w:t>
      </w:r>
      <w:r w:rsidR="00903158">
        <w:rPr>
          <w:rStyle w:val="Rimandonotaapidipagina"/>
          <w:rFonts w:cs="Times New Roman"/>
        </w:rPr>
        <w:footnoteReference w:id="98"/>
      </w:r>
      <w:r w:rsidR="00BF6394">
        <w:rPr>
          <w:rFonts w:cs="Times New Roman"/>
        </w:rPr>
        <w:t>.</w:t>
      </w:r>
    </w:p>
    <w:p w14:paraId="398A3606" w14:textId="77777777" w:rsidR="00D85B4F" w:rsidRDefault="00BF6394" w:rsidP="0074459A">
      <w:pPr>
        <w:spacing w:before="100" w:beforeAutospacing="1" w:line="276" w:lineRule="auto"/>
        <w:ind w:firstLine="454"/>
        <w:rPr>
          <w:rFonts w:cs="Times New Roman"/>
        </w:rPr>
      </w:pPr>
      <w:r>
        <w:rPr>
          <w:rFonts w:cs="Times New Roman"/>
        </w:rPr>
        <w:t xml:space="preserve">A tal proposito il </w:t>
      </w:r>
      <w:r w:rsidRPr="00D85B4F">
        <w:rPr>
          <w:rFonts w:cs="Times New Roman"/>
          <w:i/>
        </w:rPr>
        <w:t>Rapporto Lamafalussy</w:t>
      </w:r>
      <w:r>
        <w:rPr>
          <w:rFonts w:cs="Times New Roman"/>
        </w:rPr>
        <w:t xml:space="preserve"> propose una disciplina articolata su quattro livelli</w:t>
      </w:r>
      <w:r w:rsidR="00EC1BE1">
        <w:rPr>
          <w:rStyle w:val="Rimandonotaapidipagina"/>
          <w:rFonts w:cs="Times New Roman"/>
        </w:rPr>
        <w:footnoteReference w:id="99"/>
      </w:r>
      <w:r w:rsidR="005859E7">
        <w:rPr>
          <w:rFonts w:cs="Times New Roman"/>
        </w:rPr>
        <w:t>, approvata poi dal Consiglio europeo di Stoccolma del 23 e 24 marzo 2001</w:t>
      </w:r>
      <w:r w:rsidR="003D60FD">
        <w:rPr>
          <w:rFonts w:cs="Times New Roman"/>
        </w:rPr>
        <w:t>.</w:t>
      </w:r>
    </w:p>
    <w:p w14:paraId="064763B8" w14:textId="77777777" w:rsidR="00D85B4F" w:rsidRDefault="003D60FD" w:rsidP="0074459A">
      <w:pPr>
        <w:spacing w:before="100" w:beforeAutospacing="1" w:line="276" w:lineRule="auto"/>
        <w:ind w:firstLine="454"/>
        <w:rPr>
          <w:rFonts w:cs="Times New Roman"/>
        </w:rPr>
      </w:pPr>
      <w:r>
        <w:rPr>
          <w:rFonts w:cs="Times New Roman"/>
        </w:rPr>
        <w:t>A</w:t>
      </w:r>
      <w:r w:rsidR="00AF246B">
        <w:rPr>
          <w:rFonts w:cs="Times New Roman"/>
        </w:rPr>
        <w:t xml:space="preserve">l </w:t>
      </w:r>
      <w:r>
        <w:rPr>
          <w:rFonts w:cs="Times New Roman"/>
        </w:rPr>
        <w:t>primo livello vi sono il Parlamento ed il Consiglio, con un compito di indirizzo generale ed orientamento politico</w:t>
      </w:r>
      <w:r w:rsidR="001C0492">
        <w:rPr>
          <w:rFonts w:cs="Times New Roman"/>
        </w:rPr>
        <w:t>, in cui si incardina la volontà popolare</w:t>
      </w:r>
      <w:r>
        <w:rPr>
          <w:rFonts w:cs="Times New Roman"/>
        </w:rPr>
        <w:t>, oltre che con la funzione di decidere natura e portata delle misure esecutive</w:t>
      </w:r>
      <w:r w:rsidR="00EC1BE1">
        <w:rPr>
          <w:rFonts w:cs="Times New Roman"/>
        </w:rPr>
        <w:t xml:space="preserve"> dei principi quadro adottati</w:t>
      </w:r>
      <w:r>
        <w:rPr>
          <w:rFonts w:cs="Times New Roman"/>
        </w:rPr>
        <w:t xml:space="preserve"> </w:t>
      </w:r>
      <w:r w:rsidR="00D85B4F">
        <w:rPr>
          <w:rFonts w:cs="Times New Roman"/>
        </w:rPr>
        <w:t>da delegare al secondo livello.</w:t>
      </w:r>
    </w:p>
    <w:p w14:paraId="7BC92DA8" w14:textId="77777777" w:rsidR="002D7CE3" w:rsidRDefault="00AF246B" w:rsidP="0074459A">
      <w:pPr>
        <w:spacing w:before="100" w:beforeAutospacing="1" w:line="276" w:lineRule="auto"/>
        <w:ind w:firstLine="454"/>
        <w:rPr>
          <w:rFonts w:cs="Times New Roman"/>
        </w:rPr>
      </w:pPr>
      <w:r>
        <w:rPr>
          <w:rFonts w:cs="Times New Roman"/>
        </w:rPr>
        <w:t xml:space="preserve">Il secondo livello è formato dalla Commissione europea, </w:t>
      </w:r>
      <w:r w:rsidR="00BF107C">
        <w:rPr>
          <w:rFonts w:cs="Times New Roman"/>
        </w:rPr>
        <w:t>dal Comitato europeo dei valori mobiliari</w:t>
      </w:r>
      <w:r w:rsidR="00D06C73">
        <w:rPr>
          <w:rFonts w:cs="Times New Roman"/>
        </w:rPr>
        <w:t xml:space="preserve"> (ESC)</w:t>
      </w:r>
      <w:r w:rsidR="00BF107C">
        <w:rPr>
          <w:rStyle w:val="Rimandonotaapidipagina"/>
          <w:rFonts w:cs="Times New Roman"/>
        </w:rPr>
        <w:footnoteReference w:id="100"/>
      </w:r>
      <w:r w:rsidR="00BF107C">
        <w:rPr>
          <w:rFonts w:cs="Times New Roman"/>
        </w:rPr>
        <w:t xml:space="preserve">, istituito </w:t>
      </w:r>
      <w:r w:rsidR="00E551DA">
        <w:rPr>
          <w:rFonts w:cs="Times New Roman"/>
        </w:rPr>
        <w:t xml:space="preserve">sempre </w:t>
      </w:r>
      <w:r w:rsidR="00BF107C">
        <w:rPr>
          <w:rFonts w:cs="Times New Roman"/>
        </w:rPr>
        <w:t>dalla</w:t>
      </w:r>
      <w:r w:rsidR="00A92687">
        <w:rPr>
          <w:rFonts w:cs="Times New Roman"/>
        </w:rPr>
        <w:t xml:space="preserve"> </w:t>
      </w:r>
      <w:r w:rsidR="00D343B3">
        <w:rPr>
          <w:rFonts w:cs="Times New Roman"/>
        </w:rPr>
        <w:t>Direttiva</w:t>
      </w:r>
      <w:r w:rsidR="00BF107C">
        <w:rPr>
          <w:rFonts w:cs="Times New Roman"/>
        </w:rPr>
        <w:t xml:space="preserve"> </w:t>
      </w:r>
      <w:r w:rsidR="00A92687">
        <w:rPr>
          <w:rFonts w:cs="Times New Roman"/>
        </w:rPr>
        <w:t>2003/6/CE</w:t>
      </w:r>
      <w:r w:rsidR="00BF107C">
        <w:t xml:space="preserve">, e </w:t>
      </w:r>
      <w:r>
        <w:rPr>
          <w:rFonts w:cs="Times New Roman"/>
        </w:rPr>
        <w:t>dalle autorità di regolamentazione nazionali</w:t>
      </w:r>
      <w:r w:rsidR="00E551DA">
        <w:rPr>
          <w:rFonts w:cs="Times New Roman"/>
        </w:rPr>
        <w:t xml:space="preserve">, riunite nel </w:t>
      </w:r>
      <w:r w:rsidR="00E551DA" w:rsidRPr="00A05575">
        <w:t>Comitato delle autorità europee di regolamentazione dei valori mobiliari</w:t>
      </w:r>
      <w:r w:rsidR="00D06C73">
        <w:rPr>
          <w:rFonts w:cs="Times New Roman"/>
        </w:rPr>
        <w:t xml:space="preserve"> (</w:t>
      </w:r>
      <w:r w:rsidR="00E551DA">
        <w:rPr>
          <w:rFonts w:cs="Times New Roman"/>
        </w:rPr>
        <w:t>CESR</w:t>
      </w:r>
      <w:r w:rsidR="00D06C73">
        <w:rPr>
          <w:rFonts w:cs="Times New Roman"/>
        </w:rPr>
        <w:t>)</w:t>
      </w:r>
      <w:r w:rsidR="009D1798">
        <w:rPr>
          <w:rStyle w:val="Rimandonotaapidipagina"/>
          <w:rFonts w:cs="Times New Roman"/>
        </w:rPr>
        <w:footnoteReference w:id="101"/>
      </w:r>
      <w:r>
        <w:rPr>
          <w:rFonts w:cs="Times New Roman"/>
        </w:rPr>
        <w:t>.</w:t>
      </w:r>
      <w:r w:rsidR="00946646">
        <w:rPr>
          <w:rFonts w:cs="Times New Roman"/>
        </w:rPr>
        <w:t xml:space="preserve"> L’adozione degli atti di secondo livello, i quali consistono misure tecniche volte a dare esecuzione ai principi previsti al primo livello, avviene ad opera della Commissione, con l’ausilio degli altri </w:t>
      </w:r>
      <w:r w:rsidR="00323872">
        <w:rPr>
          <w:rFonts w:cs="Times New Roman"/>
        </w:rPr>
        <w:t>comitati</w:t>
      </w:r>
      <w:r w:rsidR="00946646">
        <w:rPr>
          <w:rFonts w:cs="Times New Roman"/>
        </w:rPr>
        <w:t xml:space="preserve"> di secondo livello.</w:t>
      </w:r>
    </w:p>
    <w:p w14:paraId="6FE97F7D" w14:textId="77777777" w:rsidR="00AB0199" w:rsidRDefault="00AB0199" w:rsidP="0074459A">
      <w:pPr>
        <w:spacing w:before="100" w:beforeAutospacing="1" w:line="276" w:lineRule="auto"/>
        <w:ind w:firstLine="454"/>
        <w:rPr>
          <w:rFonts w:cs="Times New Roman"/>
        </w:rPr>
      </w:pPr>
      <w:r>
        <w:rPr>
          <w:rFonts w:cs="Times New Roman"/>
        </w:rPr>
        <w:t>Il meccanismo decisionale previsto dalla Direttiva per la sua attuazione è la procedura cosiddetta di regolamentazione</w:t>
      </w:r>
      <w:r>
        <w:rPr>
          <w:rStyle w:val="Rimandonotaapidipagina"/>
          <w:rFonts w:cs="Times New Roman"/>
        </w:rPr>
        <w:footnoteReference w:id="102"/>
      </w:r>
      <w:r>
        <w:rPr>
          <w:rStyle w:val="Rimandonotaapidipagina"/>
          <w:rFonts w:cs="Times New Roman"/>
        </w:rPr>
        <w:footnoteReference w:id="103"/>
      </w:r>
      <w:r>
        <w:rPr>
          <w:rFonts w:cs="Times New Roman"/>
        </w:rPr>
        <w:t>. In tale procedura la Commissione sottopone al Comitato europeo dei valori mobiliari (ESC) le misure da adottare: se il Comitato non esprime parere favorevole, la questione è posta all’attenzione del Consiglio dell’Unione europea, il quale potrà approvare la proposta a maggioranza qualificata. Tale processo decisionale può sembrare farraginoso, ma in parte è funzionale a compensare quel deficit democratico che, come abbiamo detto, è uno dei difetti di una disciplina così tecnica e che anche in altre occasioni è stato rimproverato alle istituzioni europee</w:t>
      </w:r>
      <w:r>
        <w:rPr>
          <w:rStyle w:val="Rimandonotaapidipagina"/>
          <w:rFonts w:cs="Times New Roman"/>
        </w:rPr>
        <w:footnoteReference w:id="104"/>
      </w:r>
      <w:r>
        <w:rPr>
          <w:rFonts w:cs="Times New Roman"/>
        </w:rPr>
        <w:t xml:space="preserve">. Inoltre un tale sistema garantisce un livello di normazione adeguata alla materia ed uniforme in tutti gli Stati Membri. </w:t>
      </w:r>
    </w:p>
    <w:p w14:paraId="6BCCC92E" w14:textId="0C75E932" w:rsidR="006F7522" w:rsidRDefault="002D7CE3" w:rsidP="0074459A">
      <w:pPr>
        <w:spacing w:before="100" w:beforeAutospacing="1" w:line="276" w:lineRule="auto"/>
        <w:ind w:firstLine="454"/>
        <w:rPr>
          <w:rFonts w:cs="Times New Roman"/>
        </w:rPr>
      </w:pPr>
      <w:r>
        <w:rPr>
          <w:rFonts w:cs="Times New Roman"/>
        </w:rPr>
        <w:t xml:space="preserve">Per quanto </w:t>
      </w:r>
      <w:r w:rsidR="00A92687">
        <w:rPr>
          <w:rFonts w:cs="Times New Roman"/>
        </w:rPr>
        <w:t>concerne la manipolazione di mercato</w:t>
      </w:r>
      <w:r>
        <w:rPr>
          <w:rFonts w:cs="Times New Roman"/>
        </w:rPr>
        <w:t xml:space="preserve">, è stata </w:t>
      </w:r>
      <w:r w:rsidR="00A92687">
        <w:rPr>
          <w:rFonts w:cs="Times New Roman"/>
        </w:rPr>
        <w:t>data attuazione al</w:t>
      </w:r>
      <w:r>
        <w:rPr>
          <w:rFonts w:cs="Times New Roman"/>
        </w:rPr>
        <w:t>la Direttiva 2003/6/CE</w:t>
      </w:r>
      <w:r w:rsidR="00946646">
        <w:rPr>
          <w:rFonts w:cs="Times New Roman"/>
        </w:rPr>
        <w:t xml:space="preserve"> con la Direttiva</w:t>
      </w:r>
      <w:r w:rsidR="00A92687">
        <w:rPr>
          <w:rFonts w:cs="Times New Roman"/>
        </w:rPr>
        <w:t xml:space="preserve"> 2003/124/CE</w:t>
      </w:r>
      <w:r w:rsidR="008C3B70">
        <w:rPr>
          <w:rFonts w:cs="Times New Roman"/>
        </w:rPr>
        <w:t xml:space="preserve"> ed il Regolamento CE n. 2273/2003, entrambi adottati dalla Commissione</w:t>
      </w:r>
      <w:r>
        <w:rPr>
          <w:rFonts w:cs="Times New Roman"/>
        </w:rPr>
        <w:t xml:space="preserve"> </w:t>
      </w:r>
      <w:r w:rsidR="008C3B70">
        <w:rPr>
          <w:rFonts w:cs="Times New Roman"/>
        </w:rPr>
        <w:t>i</w:t>
      </w:r>
      <w:r>
        <w:rPr>
          <w:rFonts w:cs="Times New Roman"/>
        </w:rPr>
        <w:t>l 22 dicembre 2003</w:t>
      </w:r>
      <w:r w:rsidR="008C3B70">
        <w:rPr>
          <w:rFonts w:cs="Times New Roman"/>
        </w:rPr>
        <w:t>,</w:t>
      </w:r>
      <w:r w:rsidR="00946646">
        <w:rPr>
          <w:rFonts w:cs="Times New Roman"/>
        </w:rPr>
        <w:t xml:space="preserve"> </w:t>
      </w:r>
      <w:r w:rsidR="008C3B70">
        <w:rPr>
          <w:rFonts w:cs="Times New Roman"/>
        </w:rPr>
        <w:t>oltre che con</w:t>
      </w:r>
      <w:r w:rsidR="00946646">
        <w:rPr>
          <w:rFonts w:cs="Times New Roman"/>
        </w:rPr>
        <w:t xml:space="preserve"> la Direttiva della Commissione</w:t>
      </w:r>
      <w:r w:rsidR="00064565">
        <w:rPr>
          <w:rFonts w:cs="Times New Roman"/>
        </w:rPr>
        <w:t xml:space="preserve"> 2004/72/CE</w:t>
      </w:r>
      <w:r w:rsidR="00946646">
        <w:rPr>
          <w:rFonts w:cs="Times New Roman"/>
        </w:rPr>
        <w:t xml:space="preserve"> del 29 aprile 2004. La </w:t>
      </w:r>
      <w:r w:rsidR="008C3B70">
        <w:rPr>
          <w:rFonts w:cs="Times New Roman"/>
        </w:rPr>
        <w:t xml:space="preserve">Direttiva 2003/124/CE </w:t>
      </w:r>
      <w:r>
        <w:rPr>
          <w:rFonts w:cs="Times New Roman"/>
        </w:rPr>
        <w:t>fornisce un elenco non esaustiv</w:t>
      </w:r>
      <w:r w:rsidR="00A92687">
        <w:rPr>
          <w:rFonts w:cs="Times New Roman"/>
        </w:rPr>
        <w:t>o di indicazioni funzionale</w:t>
      </w:r>
      <w:r>
        <w:rPr>
          <w:rFonts w:cs="Times New Roman"/>
        </w:rPr>
        <w:t xml:space="preserve"> a valutare </w:t>
      </w:r>
      <w:r w:rsidR="00064565">
        <w:rPr>
          <w:rFonts w:cs="Times New Roman"/>
        </w:rPr>
        <w:t>quali</w:t>
      </w:r>
      <w:r>
        <w:rPr>
          <w:rFonts w:cs="Times New Roman"/>
        </w:rPr>
        <w:t xml:space="preserve"> </w:t>
      </w:r>
      <w:r w:rsidR="00787258">
        <w:rPr>
          <w:rFonts w:cs="Times New Roman"/>
          <w:i/>
        </w:rPr>
        <w:t>«</w:t>
      </w:r>
      <w:r w:rsidRPr="008C3B70">
        <w:rPr>
          <w:rFonts w:cs="Times New Roman"/>
          <w:i/>
        </w:rPr>
        <w:t>operazioni o ordini di compravendita</w:t>
      </w:r>
      <w:r w:rsidR="00787258">
        <w:rPr>
          <w:rFonts w:cs="Times New Roman"/>
          <w:i/>
        </w:rPr>
        <w:t>»</w:t>
      </w:r>
      <w:r w:rsidR="008C3B70">
        <w:rPr>
          <w:rFonts w:cs="Times New Roman"/>
        </w:rPr>
        <w:t xml:space="preserve"> e, più in generale,</w:t>
      </w:r>
      <w:r w:rsidR="00A92687">
        <w:rPr>
          <w:rFonts w:cs="Times New Roman"/>
        </w:rPr>
        <w:t xml:space="preserve"> </w:t>
      </w:r>
      <w:r w:rsidR="00064565">
        <w:rPr>
          <w:rFonts w:cs="Times New Roman"/>
        </w:rPr>
        <w:t>quali</w:t>
      </w:r>
      <w:r w:rsidR="00A92687">
        <w:rPr>
          <w:rFonts w:cs="Times New Roman"/>
        </w:rPr>
        <w:t xml:space="preserve"> condotte siano connotate o meno da un carattere di fraudolenza</w:t>
      </w:r>
      <w:r w:rsidR="00946646">
        <w:rPr>
          <w:rFonts w:cs="Times New Roman"/>
        </w:rPr>
        <w:t xml:space="preserve">, mentre </w:t>
      </w:r>
      <w:r w:rsidR="008C3B70">
        <w:rPr>
          <w:rFonts w:cs="Times New Roman"/>
        </w:rPr>
        <w:t>il Regolamento ha disciplinato le deroghe per i casi di negoziazione di azioni proprie e di operazioni di stabilizzazione di strumenti finanziari. Infine la Direttiva 2004/72/CE</w:t>
      </w:r>
      <w:r w:rsidR="00946646">
        <w:rPr>
          <w:rFonts w:cs="Times New Roman"/>
        </w:rPr>
        <w:t xml:space="preserve"> </w:t>
      </w:r>
      <w:r w:rsidR="00A92687">
        <w:rPr>
          <w:rFonts w:cs="Times New Roman"/>
        </w:rPr>
        <w:t>ha definito i criteri applicabili nella valutazione delle prassi ammesse.</w:t>
      </w:r>
    </w:p>
    <w:p w14:paraId="2A4EE3C5" w14:textId="77777777" w:rsidR="006F7522" w:rsidRDefault="00BF107C" w:rsidP="0074459A">
      <w:pPr>
        <w:spacing w:before="100" w:beforeAutospacing="1" w:line="276" w:lineRule="auto"/>
        <w:ind w:firstLine="454"/>
        <w:rPr>
          <w:rFonts w:cs="Times New Roman"/>
        </w:rPr>
      </w:pPr>
      <w:r>
        <w:rPr>
          <w:rFonts w:cs="Times New Roman"/>
        </w:rPr>
        <w:t xml:space="preserve">Al terzo livello </w:t>
      </w:r>
      <w:r w:rsidR="0091227B">
        <w:rPr>
          <w:rFonts w:cs="Times New Roman"/>
        </w:rPr>
        <w:t>vi sono le autorità</w:t>
      </w:r>
      <w:r>
        <w:rPr>
          <w:rFonts w:cs="Times New Roman"/>
        </w:rPr>
        <w:t xml:space="preserve"> nazionali</w:t>
      </w:r>
      <w:r w:rsidR="0091227B">
        <w:rPr>
          <w:rFonts w:cs="Times New Roman"/>
        </w:rPr>
        <w:t xml:space="preserve"> di vigilanza</w:t>
      </w:r>
      <w:r>
        <w:rPr>
          <w:rFonts w:cs="Times New Roman"/>
        </w:rPr>
        <w:t>, che</w:t>
      </w:r>
      <w:r w:rsidR="0091227B">
        <w:rPr>
          <w:rFonts w:cs="Times New Roman"/>
        </w:rPr>
        <w:t xml:space="preserve"> preparano il lavoro dei comitati di </w:t>
      </w:r>
      <w:r w:rsidR="00323872">
        <w:rPr>
          <w:rFonts w:cs="Times New Roman"/>
        </w:rPr>
        <w:t>secondo livello e</w:t>
      </w:r>
      <w:r w:rsidR="0091227B">
        <w:rPr>
          <w:rFonts w:cs="Times New Roman"/>
        </w:rPr>
        <w:t xml:space="preserve"> cooperano tra di loro. </w:t>
      </w:r>
      <w:r w:rsidR="00323872">
        <w:rPr>
          <w:rFonts w:cs="Times New Roman"/>
        </w:rPr>
        <w:t>Essi inoltre</w:t>
      </w:r>
      <w:r>
        <w:rPr>
          <w:rFonts w:cs="Times New Roman"/>
        </w:rPr>
        <w:t xml:space="preserve"> recepiscono ed attuano le norme prodotte ai livelli primo e secondo</w:t>
      </w:r>
      <w:r>
        <w:rPr>
          <w:rStyle w:val="Rimandonotaapidipagina"/>
          <w:rFonts w:cs="Times New Roman"/>
        </w:rPr>
        <w:footnoteReference w:id="105"/>
      </w:r>
      <w:r w:rsidR="006F7522">
        <w:rPr>
          <w:rFonts w:cs="Times New Roman"/>
        </w:rPr>
        <w:t>.</w:t>
      </w:r>
    </w:p>
    <w:p w14:paraId="2F84D25C" w14:textId="77777777" w:rsidR="00BF6394" w:rsidRDefault="00BF107C" w:rsidP="0074459A">
      <w:pPr>
        <w:spacing w:before="100" w:beforeAutospacing="1" w:line="276" w:lineRule="auto"/>
        <w:ind w:firstLine="454"/>
        <w:rPr>
          <w:rFonts w:cs="Times New Roman"/>
        </w:rPr>
      </w:pPr>
      <w:r>
        <w:rPr>
          <w:rFonts w:cs="Times New Roman"/>
        </w:rPr>
        <w:t>Al quarto livello, infine, la Commissione europea</w:t>
      </w:r>
      <w:r w:rsidR="0091227B">
        <w:rPr>
          <w:rFonts w:cs="Times New Roman"/>
        </w:rPr>
        <w:t xml:space="preserve"> e gli Stati membri</w:t>
      </w:r>
      <w:r>
        <w:rPr>
          <w:rFonts w:cs="Times New Roman"/>
        </w:rPr>
        <w:t xml:space="preserve"> </w:t>
      </w:r>
      <w:r w:rsidR="00EC1BE1">
        <w:rPr>
          <w:rFonts w:cs="Times New Roman"/>
        </w:rPr>
        <w:t>vigila</w:t>
      </w:r>
      <w:r w:rsidR="0091227B">
        <w:rPr>
          <w:rFonts w:cs="Times New Roman"/>
        </w:rPr>
        <w:t>no</w:t>
      </w:r>
      <w:r w:rsidR="00EC1BE1">
        <w:rPr>
          <w:rFonts w:cs="Times New Roman"/>
        </w:rPr>
        <w:t xml:space="preserve"> sul</w:t>
      </w:r>
      <w:r>
        <w:rPr>
          <w:rFonts w:cs="Times New Roman"/>
        </w:rPr>
        <w:t>la corretta ed uniforme applicazione del diritto così formato</w:t>
      </w:r>
      <w:r w:rsidR="0091227B">
        <w:rPr>
          <w:rStyle w:val="Rimandonotaapidipagina"/>
          <w:rFonts w:cs="Times New Roman"/>
        </w:rPr>
        <w:footnoteReference w:id="106"/>
      </w:r>
      <w:r>
        <w:rPr>
          <w:rFonts w:cs="Times New Roman"/>
        </w:rPr>
        <w:t>.</w:t>
      </w:r>
    </w:p>
    <w:p w14:paraId="1586EC71" w14:textId="77777777" w:rsidR="006E5DCB" w:rsidRDefault="00D06C73" w:rsidP="0074459A">
      <w:pPr>
        <w:spacing w:before="100" w:beforeAutospacing="1" w:line="276" w:lineRule="auto"/>
        <w:ind w:firstLine="454"/>
        <w:rPr>
          <w:rFonts w:cs="Times New Roman"/>
        </w:rPr>
      </w:pPr>
      <w:r>
        <w:rPr>
          <w:rFonts w:cs="Times New Roman"/>
        </w:rPr>
        <w:t xml:space="preserve">Quanto al contenuto della </w:t>
      </w:r>
      <w:r w:rsidR="002D7CE3">
        <w:rPr>
          <w:rFonts w:cs="Times New Roman"/>
        </w:rPr>
        <w:t>normativa comunitaria</w:t>
      </w:r>
      <w:r>
        <w:rPr>
          <w:rFonts w:cs="Times New Roman"/>
        </w:rPr>
        <w:t xml:space="preserve">, </w:t>
      </w:r>
      <w:r w:rsidR="00041083">
        <w:rPr>
          <w:rFonts w:cs="Times New Roman"/>
        </w:rPr>
        <w:t>per una questione di sistematicità si rinvia al successivo capitolo</w:t>
      </w:r>
      <w:r>
        <w:rPr>
          <w:rFonts w:cs="Times New Roman"/>
        </w:rPr>
        <w:t>,</w:t>
      </w:r>
      <w:r w:rsidR="00041083">
        <w:rPr>
          <w:rFonts w:cs="Times New Roman"/>
        </w:rPr>
        <w:t xml:space="preserve"> in modo da poter effettuare </w:t>
      </w:r>
      <w:r w:rsidR="006F7522">
        <w:rPr>
          <w:rFonts w:cs="Times New Roman"/>
        </w:rPr>
        <w:t xml:space="preserve">un’analisi </w:t>
      </w:r>
      <w:r>
        <w:rPr>
          <w:rFonts w:cs="Times New Roman"/>
        </w:rPr>
        <w:t>più completa della normativa comunitaria e</w:t>
      </w:r>
      <w:r w:rsidR="006F7522">
        <w:rPr>
          <w:rFonts w:cs="Times New Roman"/>
        </w:rPr>
        <w:t xml:space="preserve"> così poter cogliere le conseguenti implicazioni per la legge italiana che attualmente recepisce la stessa.</w:t>
      </w:r>
    </w:p>
    <w:p w14:paraId="7429566E" w14:textId="2550D51D" w:rsidR="00900E55" w:rsidRPr="002F10A2" w:rsidRDefault="00041083" w:rsidP="0074459A">
      <w:pPr>
        <w:pStyle w:val="Titolo2"/>
        <w:numPr>
          <w:ilvl w:val="0"/>
          <w:numId w:val="22"/>
        </w:numPr>
      </w:pPr>
      <w:bookmarkStart w:id="19" w:name="_Toc272493056"/>
      <w:r w:rsidRPr="002F10A2">
        <w:t>Il</w:t>
      </w:r>
      <w:r w:rsidR="006F7522">
        <w:t xml:space="preserve"> primo</w:t>
      </w:r>
      <w:r w:rsidRPr="002F10A2">
        <w:t xml:space="preserve"> recepimento della </w:t>
      </w:r>
      <w:r w:rsidR="00D343B3">
        <w:t>Direttiva</w:t>
      </w:r>
      <w:r w:rsidRPr="002F10A2">
        <w:t xml:space="preserve"> 2003/6/CE </w:t>
      </w:r>
      <w:r w:rsidR="00AB0199">
        <w:t>nell’ordinamento italiano</w:t>
      </w:r>
      <w:r w:rsidR="00A02EC4">
        <w:t xml:space="preserve"> (la l. n. 62 del 2005)</w:t>
      </w:r>
      <w:bookmarkEnd w:id="19"/>
    </w:p>
    <w:p w14:paraId="391DC3D4" w14:textId="77777777" w:rsidR="00C50C13" w:rsidRDefault="006A5F14" w:rsidP="0074459A">
      <w:pPr>
        <w:spacing w:before="100" w:beforeAutospacing="1" w:line="276" w:lineRule="auto"/>
        <w:ind w:firstLine="454"/>
        <w:rPr>
          <w:rFonts w:cs="Times New Roman"/>
        </w:rPr>
      </w:pPr>
      <w:r>
        <w:rPr>
          <w:rFonts w:cs="Times New Roman"/>
        </w:rPr>
        <w:t xml:space="preserve">La legge comunitaria per il 2004, n. 62/2005, </w:t>
      </w:r>
      <w:r w:rsidR="006F7522">
        <w:rPr>
          <w:rFonts w:cs="Times New Roman"/>
        </w:rPr>
        <w:t>ha recepito</w:t>
      </w:r>
      <w:r>
        <w:rPr>
          <w:rFonts w:cs="Times New Roman"/>
        </w:rPr>
        <w:t xml:space="preserve"> la </w:t>
      </w:r>
      <w:r w:rsidR="00D343B3">
        <w:rPr>
          <w:rFonts w:cs="Times New Roman"/>
        </w:rPr>
        <w:t>Direttiva</w:t>
      </w:r>
      <w:r>
        <w:rPr>
          <w:rFonts w:cs="Times New Roman"/>
        </w:rPr>
        <w:t xml:space="preserve"> 2003</w:t>
      </w:r>
      <w:r w:rsidR="00285926">
        <w:rPr>
          <w:rFonts w:cs="Times New Roman"/>
        </w:rPr>
        <w:t>/6/CE nell’ordinamento italiano</w:t>
      </w:r>
      <w:r w:rsidR="007E12BA">
        <w:rPr>
          <w:rFonts w:cs="Times New Roman"/>
        </w:rPr>
        <w:t>.</w:t>
      </w:r>
      <w:r w:rsidR="00C50C13">
        <w:rPr>
          <w:rFonts w:cs="Times New Roman"/>
        </w:rPr>
        <w:t xml:space="preserve"> </w:t>
      </w:r>
    </w:p>
    <w:p w14:paraId="45EE7628" w14:textId="77777777" w:rsidR="006F7522" w:rsidRDefault="006E5DCB" w:rsidP="0074459A">
      <w:pPr>
        <w:spacing w:before="100" w:beforeAutospacing="1" w:line="276" w:lineRule="auto"/>
        <w:ind w:firstLine="454"/>
        <w:rPr>
          <w:rFonts w:cs="Times New Roman"/>
        </w:rPr>
      </w:pPr>
      <w:r>
        <w:rPr>
          <w:rFonts w:cs="Times New Roman"/>
        </w:rPr>
        <w:t xml:space="preserve">Caratteristica della normativa comunitaria era quella di mantenere ben separati e distinti, ancorché coordinati, i sistemi di sanzionatori dell’intermediazione finanziaria e del diritto societario. </w:t>
      </w:r>
      <w:r w:rsidR="00F415DB">
        <w:rPr>
          <w:rFonts w:cs="Times New Roman"/>
        </w:rPr>
        <w:t xml:space="preserve">Inoltre la </w:t>
      </w:r>
      <w:r w:rsidR="00D343B3">
        <w:rPr>
          <w:rFonts w:cs="Times New Roman"/>
        </w:rPr>
        <w:t>Direttiva</w:t>
      </w:r>
      <w:r>
        <w:rPr>
          <w:rFonts w:cs="Times New Roman"/>
        </w:rPr>
        <w:t xml:space="preserve"> europea 2003/6/CE aveva un grado tale di dettaglio da richiedere necessariamente di essere inserita in un apposito contesto normativo, </w:t>
      </w:r>
      <w:r w:rsidR="006F7522">
        <w:rPr>
          <w:rFonts w:cs="Times New Roman"/>
        </w:rPr>
        <w:t>quale</w:t>
      </w:r>
      <w:r>
        <w:rPr>
          <w:rFonts w:cs="Times New Roman"/>
        </w:rPr>
        <w:t xml:space="preserve"> certamente non poteva essere il codice civile. Così l</w:t>
      </w:r>
      <w:r w:rsidR="006A5F14">
        <w:rPr>
          <w:rFonts w:cs="Times New Roman"/>
        </w:rPr>
        <w:t xml:space="preserve">a norma sull’aggiotaggio di tipo finanziario, che era transitata </w:t>
      </w:r>
      <w:r w:rsidR="006F7522">
        <w:rPr>
          <w:rFonts w:cs="Times New Roman"/>
        </w:rPr>
        <w:t>appena due anni prima</w:t>
      </w:r>
      <w:r w:rsidR="006A5F14">
        <w:rPr>
          <w:rFonts w:cs="Times New Roman"/>
        </w:rPr>
        <w:t xml:space="preserve"> dal T.U.F. al codice civile, venne riformulata e tornò nell’alveo del Testo unico sull’intermediazione finanziaria.</w:t>
      </w:r>
    </w:p>
    <w:p w14:paraId="6837A3B6" w14:textId="77777777" w:rsidR="00F42BF3" w:rsidRDefault="00F42BF3" w:rsidP="0074459A">
      <w:pPr>
        <w:spacing w:before="100" w:beforeAutospacing="1" w:line="276" w:lineRule="auto"/>
        <w:ind w:firstLine="454"/>
        <w:rPr>
          <w:rFonts w:cs="Times New Roman"/>
        </w:rPr>
      </w:pPr>
      <w:r>
        <w:rPr>
          <w:rFonts w:cs="Times New Roman"/>
        </w:rPr>
        <w:t>Dunque allo stato attuale coesistono due tipi di aggiotaggio su strumenti finanziari. Essi sono differenziati dal sol fatto che la fattispecie prevista dall’articolo 2637 c.c., a seguito delle modifiche intervenute con la l. 62/2005, riguarda titoli non quotati</w:t>
      </w:r>
      <w:r w:rsidR="001101D2">
        <w:rPr>
          <w:rFonts w:cs="Times New Roman"/>
        </w:rPr>
        <w:t>, ovvero il caso di aggiotaggio bancario</w:t>
      </w:r>
      <w:r>
        <w:rPr>
          <w:rStyle w:val="Rimandonotaapidipagina"/>
          <w:rFonts w:cs="Times New Roman"/>
        </w:rPr>
        <w:footnoteReference w:id="107"/>
      </w:r>
      <w:r>
        <w:rPr>
          <w:rFonts w:cs="Times New Roman"/>
        </w:rPr>
        <w:t>, mentre per configurarsi quella prevista dall’articolo 185 del T.U.F. il titolo dovrà essere stato ammesso alle negoziazioni o dovrà almeno esserne stata richiesta l’ammissione</w:t>
      </w:r>
      <w:r w:rsidR="00C50C13">
        <w:rPr>
          <w:rFonts w:cs="Times New Roman"/>
        </w:rPr>
        <w:t xml:space="preserve"> in un mercato regolamentato europeo, secondo quanto disposto dall’art. 182</w:t>
      </w:r>
      <w:r>
        <w:rPr>
          <w:rFonts w:cs="Times New Roman"/>
        </w:rPr>
        <w:t>. Pertanto la condotta che configura il reato di aggiotaggio è identica tra le due fattispecie, cambia invece l’oggetto su cui verte tale condotta e il contesto in cui essa è posta in essere. Si deve ancora evidenziare che</w:t>
      </w:r>
      <w:r w:rsidR="0061607C">
        <w:rPr>
          <w:rFonts w:cs="Times New Roman"/>
        </w:rPr>
        <w:t>,</w:t>
      </w:r>
      <w:r>
        <w:rPr>
          <w:rFonts w:cs="Times New Roman"/>
        </w:rPr>
        <w:t xml:space="preserve"> secondo autorevole dottrina</w:t>
      </w:r>
      <w:r w:rsidR="0061607C">
        <w:rPr>
          <w:rFonts w:cs="Times New Roman"/>
        </w:rPr>
        <w:t>,</w:t>
      </w:r>
      <w:r>
        <w:rPr>
          <w:rFonts w:cs="Times New Roman"/>
        </w:rPr>
        <w:t xml:space="preserve"> </w:t>
      </w:r>
      <w:r w:rsidR="0061607C">
        <w:rPr>
          <w:rFonts w:cs="Times New Roman"/>
        </w:rPr>
        <w:t>sarebbe</w:t>
      </w:r>
      <w:r>
        <w:rPr>
          <w:rFonts w:cs="Times New Roman"/>
        </w:rPr>
        <w:t xml:space="preserve"> da escludersi il concorso formale di reati, in quanto la pena prevista dall’art. 185 T.U.F. è adeguata anche al disvalore dell’art. 2637 c.c.</w:t>
      </w:r>
      <w:r>
        <w:rPr>
          <w:rStyle w:val="Rimandonotaapidipagina"/>
          <w:rFonts w:cs="Times New Roman"/>
        </w:rPr>
        <w:footnoteReference w:id="108"/>
      </w:r>
      <w:r>
        <w:rPr>
          <w:rFonts w:cs="Times New Roman"/>
        </w:rPr>
        <w:t>.</w:t>
      </w:r>
    </w:p>
    <w:p w14:paraId="39906C63" w14:textId="0CB89D7C" w:rsidR="00037450" w:rsidRPr="00D6558E" w:rsidRDefault="006E5DCB" w:rsidP="0074459A">
      <w:pPr>
        <w:spacing w:before="100" w:beforeAutospacing="1" w:line="276" w:lineRule="auto"/>
        <w:ind w:firstLine="454"/>
        <w:rPr>
          <w:rFonts w:cs="Times New Roman"/>
        </w:rPr>
      </w:pPr>
      <w:r>
        <w:rPr>
          <w:rFonts w:cs="Times New Roman"/>
        </w:rPr>
        <w:t>In particolare il capo IV di quest’ultimo venne inte</w:t>
      </w:r>
      <w:r w:rsidR="0098331F">
        <w:rPr>
          <w:rFonts w:cs="Times New Roman"/>
        </w:rPr>
        <w:t xml:space="preserve">ramente sostituito dal Titolo I </w:t>
      </w:r>
      <w:r>
        <w:rPr>
          <w:rFonts w:cs="Times New Roman"/>
        </w:rPr>
        <w:t xml:space="preserve">bis, il quale all’articolo 180 ridefinisce, con riferimento al titolo stesso, </w:t>
      </w:r>
      <w:r w:rsidR="008357B9">
        <w:rPr>
          <w:rFonts w:cs="Times New Roman"/>
        </w:rPr>
        <w:t>la nozione di</w:t>
      </w:r>
      <w:r>
        <w:rPr>
          <w:rFonts w:cs="Times New Roman"/>
        </w:rPr>
        <w:t xml:space="preserve"> </w:t>
      </w:r>
      <w:r w:rsidR="00787258">
        <w:rPr>
          <w:rFonts w:cs="Times New Roman"/>
          <w:i/>
        </w:rPr>
        <w:t>«</w:t>
      </w:r>
      <w:r w:rsidRPr="00D6558E">
        <w:rPr>
          <w:rFonts w:cs="Times New Roman"/>
          <w:i/>
        </w:rPr>
        <w:t>strumenti finanziari</w:t>
      </w:r>
      <w:r w:rsidR="00787258">
        <w:rPr>
          <w:rFonts w:cs="Times New Roman"/>
          <w:i/>
        </w:rPr>
        <w:t>»</w:t>
      </w:r>
      <w:r w:rsidR="008357B9">
        <w:rPr>
          <w:rFonts w:cs="Times New Roman"/>
        </w:rPr>
        <w:t>.</w:t>
      </w:r>
      <w:r w:rsidR="00D6558E">
        <w:rPr>
          <w:rFonts w:cs="Times New Roman"/>
        </w:rPr>
        <w:t xml:space="preserve"> Con riferimento al Titolo in esame il legislatore considera strumenti finanziari quelli già definiti dal seco</w:t>
      </w:r>
      <w:r w:rsidR="0061607C">
        <w:rPr>
          <w:rFonts w:cs="Times New Roman"/>
        </w:rPr>
        <w:t xml:space="preserve">ndo comma dell’articolo 1 del </w:t>
      </w:r>
      <w:r w:rsidR="00D6558E">
        <w:rPr>
          <w:rFonts w:cs="Times New Roman"/>
        </w:rPr>
        <w:t xml:space="preserve">T.U.F., ma limitatamente a quelli </w:t>
      </w:r>
      <w:r w:rsidR="00787258">
        <w:rPr>
          <w:rFonts w:cs="Times New Roman"/>
          <w:i/>
        </w:rPr>
        <w:t>«</w:t>
      </w:r>
      <w:r w:rsidR="008357B9" w:rsidRPr="00D6558E">
        <w:rPr>
          <w:rFonts w:cs="Times New Roman"/>
          <w:i/>
        </w:rPr>
        <w:t xml:space="preserve">ammessi alla negoziazione o per i quali </w:t>
      </w:r>
      <w:r w:rsidR="00D6558E" w:rsidRPr="00D6558E">
        <w:rPr>
          <w:rFonts w:cs="Times New Roman"/>
          <w:i/>
        </w:rPr>
        <w:t xml:space="preserve">è </w:t>
      </w:r>
      <w:r w:rsidR="00033F2A">
        <w:rPr>
          <w:rFonts w:cs="Times New Roman"/>
          <w:i/>
        </w:rPr>
        <w:t>stata</w:t>
      </w:r>
      <w:r w:rsidR="008357B9" w:rsidRPr="00D6558E">
        <w:rPr>
          <w:rFonts w:cs="Times New Roman"/>
          <w:i/>
        </w:rPr>
        <w:t xml:space="preserve"> presentata una richiesta di ammissione alle negoziazioni in un</w:t>
      </w:r>
      <w:r w:rsidR="00D6558E" w:rsidRPr="00D6558E">
        <w:rPr>
          <w:rFonts w:cs="Times New Roman"/>
          <w:i/>
        </w:rPr>
        <w:t xml:space="preserve"> </w:t>
      </w:r>
      <w:r w:rsidR="008357B9" w:rsidRPr="00D6558E">
        <w:rPr>
          <w:rFonts w:cs="Times New Roman"/>
          <w:i/>
        </w:rPr>
        <w:t>mercato</w:t>
      </w:r>
      <w:r w:rsidR="00033F2A">
        <w:rPr>
          <w:rFonts w:cs="Times New Roman"/>
          <w:i/>
        </w:rPr>
        <w:t xml:space="preserve"> </w:t>
      </w:r>
      <w:r w:rsidR="008357B9" w:rsidRPr="00D6558E">
        <w:rPr>
          <w:rFonts w:cs="Times New Roman"/>
          <w:i/>
        </w:rPr>
        <w:t>regolamentato italiano o di altro Paese dell'Unione europea</w:t>
      </w:r>
      <w:r w:rsidR="00787258">
        <w:rPr>
          <w:rFonts w:cs="Times New Roman"/>
          <w:i/>
        </w:rPr>
        <w:t>»</w:t>
      </w:r>
      <w:r w:rsidR="00D6558E" w:rsidRPr="00D6558E">
        <w:rPr>
          <w:rFonts w:cs="Times New Roman"/>
        </w:rPr>
        <w:t xml:space="preserve">. Rientra inoltre in tale definizione </w:t>
      </w:r>
      <w:r w:rsidR="00787258">
        <w:rPr>
          <w:rFonts w:cs="Times New Roman"/>
          <w:i/>
        </w:rPr>
        <w:t>«</w:t>
      </w:r>
      <w:r w:rsidR="00D6558E" w:rsidRPr="00D6558E">
        <w:rPr>
          <w:rFonts w:cs="Times New Roman"/>
          <w:i/>
        </w:rPr>
        <w:t>qualsiasi altro strumento</w:t>
      </w:r>
      <w:r w:rsidR="008357B9" w:rsidRPr="00D6558E">
        <w:rPr>
          <w:rFonts w:cs="Times New Roman"/>
          <w:i/>
        </w:rPr>
        <w:t xml:space="preserve"> ammesso o per il quale </w:t>
      </w:r>
      <w:r w:rsidR="00D6558E" w:rsidRPr="00D6558E">
        <w:rPr>
          <w:rFonts w:cs="Times New Roman"/>
          <w:i/>
        </w:rPr>
        <w:t>è</w:t>
      </w:r>
      <w:r w:rsidR="008357B9" w:rsidRPr="00D6558E">
        <w:rPr>
          <w:rFonts w:cs="Times New Roman"/>
          <w:i/>
        </w:rPr>
        <w:t xml:space="preserve"> stata</w:t>
      </w:r>
      <w:r w:rsidR="00D6558E" w:rsidRPr="00D6558E">
        <w:rPr>
          <w:rFonts w:cs="Times New Roman"/>
          <w:i/>
        </w:rPr>
        <w:t xml:space="preserve"> presentata una richiesta di</w:t>
      </w:r>
      <w:r w:rsidR="008357B9" w:rsidRPr="00D6558E">
        <w:rPr>
          <w:rFonts w:cs="Times New Roman"/>
          <w:i/>
        </w:rPr>
        <w:t xml:space="preserve"> </w:t>
      </w:r>
      <w:r w:rsidR="00D6558E" w:rsidRPr="00D6558E">
        <w:rPr>
          <w:rFonts w:cs="Times New Roman"/>
          <w:i/>
        </w:rPr>
        <w:t xml:space="preserve">ammissione alle negoziazioni </w:t>
      </w:r>
      <w:r w:rsidR="008357B9" w:rsidRPr="00D6558E">
        <w:rPr>
          <w:rFonts w:cs="Times New Roman"/>
          <w:i/>
        </w:rPr>
        <w:t>in un</w:t>
      </w:r>
      <w:r w:rsidR="00D6558E" w:rsidRPr="00D6558E">
        <w:rPr>
          <w:rFonts w:cs="Times New Roman"/>
          <w:i/>
        </w:rPr>
        <w:t xml:space="preserve"> </w:t>
      </w:r>
      <w:r w:rsidR="008357B9" w:rsidRPr="00D6558E">
        <w:rPr>
          <w:rFonts w:cs="Times New Roman"/>
          <w:i/>
        </w:rPr>
        <w:t>mercato regolamentato di un Paese dell'Unione europea</w:t>
      </w:r>
      <w:r w:rsidR="00787258">
        <w:rPr>
          <w:rFonts w:cs="Times New Roman"/>
          <w:i/>
        </w:rPr>
        <w:t>»</w:t>
      </w:r>
      <w:r w:rsidR="00D6558E">
        <w:rPr>
          <w:rFonts w:cs="Times New Roman"/>
        </w:rPr>
        <w:t>.</w:t>
      </w:r>
    </w:p>
    <w:p w14:paraId="749AE1B0" w14:textId="77777777" w:rsidR="007C33BC" w:rsidRDefault="00037450" w:rsidP="0074459A">
      <w:pPr>
        <w:spacing w:before="100" w:beforeAutospacing="1" w:after="100" w:afterAutospacing="1" w:line="276" w:lineRule="auto"/>
        <w:ind w:firstLine="454"/>
        <w:rPr>
          <w:rFonts w:cs="Times New Roman"/>
        </w:rPr>
      </w:pPr>
      <w:r>
        <w:rPr>
          <w:rFonts w:cs="Times New Roman"/>
        </w:rPr>
        <w:t>Inoltre la legge comunitaria inserisce nel T.U.F.</w:t>
      </w:r>
      <w:r w:rsidR="00503711">
        <w:rPr>
          <w:rFonts w:cs="Times New Roman"/>
        </w:rPr>
        <w:t xml:space="preserve"> una serie di articoli che rafforzano grandemente i poteri della Consob. Tra le principali novità </w:t>
      </w:r>
      <w:r w:rsidR="006303BA">
        <w:rPr>
          <w:rFonts w:cs="Times New Roman"/>
        </w:rPr>
        <w:t>si ricorda</w:t>
      </w:r>
      <w:r w:rsidR="00503711">
        <w:rPr>
          <w:rFonts w:cs="Times New Roman"/>
        </w:rPr>
        <w:t xml:space="preserve"> </w:t>
      </w:r>
      <w:r>
        <w:rPr>
          <w:rFonts w:cs="Times New Roman"/>
        </w:rPr>
        <w:t xml:space="preserve">l’articolo 187 </w:t>
      </w:r>
      <w:r w:rsidRPr="006303BA">
        <w:rPr>
          <w:rFonts w:cs="Times New Roman"/>
          <w:i/>
        </w:rPr>
        <w:t>septies</w:t>
      </w:r>
      <w:r>
        <w:rPr>
          <w:rFonts w:cs="Times New Roman"/>
        </w:rPr>
        <w:t xml:space="preserve">, il quale attribuisce alla Consob il potere di irrogare, quale organo giudicante di primo grado, le sanzioni amministrative previste nel Titolo in esame. L’articolo 187 </w:t>
      </w:r>
      <w:r w:rsidRPr="006303BA">
        <w:rPr>
          <w:rFonts w:cs="Times New Roman"/>
          <w:i/>
        </w:rPr>
        <w:t>undecies</w:t>
      </w:r>
      <w:r w:rsidR="00503711">
        <w:rPr>
          <w:rFonts w:cs="Times New Roman"/>
        </w:rPr>
        <w:t>, invece, le permette di costituirsi parte civile nei processi penali per richiedere i danni derivanti dalla lesione dell’integrità del mercato.</w:t>
      </w:r>
    </w:p>
    <w:p w14:paraId="111EF074" w14:textId="77777777" w:rsidR="001101D2" w:rsidRDefault="00276DC4" w:rsidP="0074459A">
      <w:pPr>
        <w:autoSpaceDE w:val="0"/>
        <w:autoSpaceDN w:val="0"/>
        <w:adjustRightInd w:val="0"/>
        <w:spacing w:after="100" w:afterAutospacing="1" w:line="276" w:lineRule="auto"/>
        <w:ind w:firstLine="454"/>
        <w:rPr>
          <w:rFonts w:cs="Times New Roman"/>
        </w:rPr>
      </w:pPr>
      <w:r>
        <w:rPr>
          <w:rFonts w:cs="Times New Roman"/>
        </w:rPr>
        <w:t>Come è evidente</w:t>
      </w:r>
      <w:r w:rsidR="00FE2F32">
        <w:rPr>
          <w:rFonts w:cs="Times New Roman"/>
        </w:rPr>
        <w:t xml:space="preserve"> da un confronto testuale tra le norme</w:t>
      </w:r>
      <w:r>
        <w:rPr>
          <w:rFonts w:cs="Times New Roman"/>
        </w:rPr>
        <w:t>,</w:t>
      </w:r>
      <w:r w:rsidR="00F42BF3">
        <w:rPr>
          <w:rFonts w:cs="Times New Roman"/>
        </w:rPr>
        <w:t xml:space="preserve"> la </w:t>
      </w:r>
      <w:r w:rsidR="001101D2">
        <w:rPr>
          <w:rFonts w:cs="Times New Roman"/>
        </w:rPr>
        <w:t>fattispecie</w:t>
      </w:r>
      <w:r>
        <w:rPr>
          <w:rFonts w:cs="Times New Roman"/>
        </w:rPr>
        <w:t xml:space="preserve"> inserita nel nuovo art. 185 del T.U.F.</w:t>
      </w:r>
      <w:r w:rsidR="005839AA" w:rsidRPr="005839AA">
        <w:rPr>
          <w:rStyle w:val="Rimandonotaapidipagina"/>
          <w:rFonts w:cs="Times New Roman"/>
        </w:rPr>
        <w:t xml:space="preserve"> </w:t>
      </w:r>
      <w:r w:rsidR="005839AA">
        <w:rPr>
          <w:rStyle w:val="Rimandonotaapidipagina"/>
          <w:rFonts w:cs="Times New Roman"/>
        </w:rPr>
        <w:footnoteReference w:id="109"/>
      </w:r>
      <w:r w:rsidR="001101D2">
        <w:rPr>
          <w:rFonts w:cs="Times New Roman"/>
        </w:rPr>
        <w:t xml:space="preserve"> non presenta </w:t>
      </w:r>
      <w:r>
        <w:rPr>
          <w:rFonts w:cs="Times New Roman"/>
        </w:rPr>
        <w:t xml:space="preserve">alcuna </w:t>
      </w:r>
      <w:r w:rsidR="007E12BA">
        <w:rPr>
          <w:rFonts w:cs="Times New Roman"/>
        </w:rPr>
        <w:t xml:space="preserve">significativa </w:t>
      </w:r>
      <w:r>
        <w:rPr>
          <w:rFonts w:cs="Times New Roman"/>
        </w:rPr>
        <w:t>modifica</w:t>
      </w:r>
      <w:r w:rsidR="001101D2">
        <w:rPr>
          <w:rFonts w:cs="Times New Roman"/>
        </w:rPr>
        <w:t>,</w:t>
      </w:r>
      <w:r>
        <w:rPr>
          <w:rFonts w:cs="Times New Roman"/>
        </w:rPr>
        <w:t xml:space="preserve"> </w:t>
      </w:r>
      <w:r w:rsidR="00791C0F">
        <w:rPr>
          <w:rFonts w:cs="Times New Roman"/>
        </w:rPr>
        <w:t>dal punto di vista della formulazione</w:t>
      </w:r>
      <w:r>
        <w:rPr>
          <w:rFonts w:cs="Times New Roman"/>
        </w:rPr>
        <w:t>, rispetto al precedente</w:t>
      </w:r>
      <w:r w:rsidR="00C50C13">
        <w:rPr>
          <w:rFonts w:cs="Times New Roman"/>
        </w:rPr>
        <w:t xml:space="preserve"> art. 2637 c.c.</w:t>
      </w:r>
      <w:r>
        <w:rPr>
          <w:rFonts w:cs="Times New Roman"/>
        </w:rPr>
        <w:t>. Unica differenza rispetto a</w:t>
      </w:r>
      <w:r w:rsidR="00C50C13">
        <w:rPr>
          <w:rFonts w:cs="Times New Roman"/>
        </w:rPr>
        <w:t>d</w:t>
      </w:r>
      <w:r>
        <w:rPr>
          <w:rFonts w:cs="Times New Roman"/>
        </w:rPr>
        <w:t xml:space="preserve"> </w:t>
      </w:r>
      <w:r w:rsidR="00C50C13">
        <w:rPr>
          <w:rFonts w:cs="Times New Roman"/>
        </w:rPr>
        <w:t>esso</w:t>
      </w:r>
      <w:r>
        <w:rPr>
          <w:rFonts w:cs="Times New Roman"/>
        </w:rPr>
        <w:t xml:space="preserve"> è il diverso </w:t>
      </w:r>
      <w:r w:rsidR="001101D2">
        <w:rPr>
          <w:rFonts w:cs="Times New Roman"/>
        </w:rPr>
        <w:t>ambito</w:t>
      </w:r>
      <w:r>
        <w:rPr>
          <w:rFonts w:cs="Times New Roman"/>
        </w:rPr>
        <w:t xml:space="preserve"> applicativo, su cui si è detto</w:t>
      </w:r>
      <w:r w:rsidR="007E12BA">
        <w:rPr>
          <w:rFonts w:cs="Times New Roman"/>
        </w:rPr>
        <w:t xml:space="preserve"> </w:t>
      </w:r>
      <w:r w:rsidR="006303BA">
        <w:rPr>
          <w:rFonts w:cs="Times New Roman"/>
        </w:rPr>
        <w:t>al capo che</w:t>
      </w:r>
      <w:r>
        <w:rPr>
          <w:rFonts w:cs="Times New Roman"/>
        </w:rPr>
        <w:t xml:space="preserve"> precede.</w:t>
      </w:r>
    </w:p>
    <w:p w14:paraId="6AFB5B32" w14:textId="77777777" w:rsidR="00791C0F" w:rsidRDefault="007E12BA" w:rsidP="0074459A">
      <w:pPr>
        <w:autoSpaceDE w:val="0"/>
        <w:autoSpaceDN w:val="0"/>
        <w:adjustRightInd w:val="0"/>
        <w:spacing w:after="100" w:afterAutospacing="1" w:line="276" w:lineRule="auto"/>
        <w:ind w:firstLine="454"/>
        <w:rPr>
          <w:rFonts w:cs="Times New Roman"/>
        </w:rPr>
      </w:pPr>
      <w:r>
        <w:rPr>
          <w:rFonts w:cs="Times New Roman"/>
        </w:rPr>
        <w:t>Se il dato testuale rimane il medesimo, bisogna notare come</w:t>
      </w:r>
      <w:r w:rsidR="00791C0F">
        <w:rPr>
          <w:rFonts w:cs="Times New Roman"/>
        </w:rPr>
        <w:t xml:space="preserve"> l’introduzione</w:t>
      </w:r>
      <w:r>
        <w:rPr>
          <w:rFonts w:cs="Times New Roman"/>
        </w:rPr>
        <w:t xml:space="preserve"> e la definizione</w:t>
      </w:r>
      <w:r w:rsidR="00791C0F">
        <w:rPr>
          <w:rFonts w:cs="Times New Roman"/>
        </w:rPr>
        <w:t xml:space="preserve"> dell’art. 187 ter come ipotesi amministrat</w:t>
      </w:r>
      <w:r>
        <w:rPr>
          <w:rFonts w:cs="Times New Roman"/>
        </w:rPr>
        <w:t>iva di manipolazione di mercato siano funzionali a interpretare e limitare l’applicazione dello stesso art. 185. Da questo punto di vista, la legge comunitaria ha rappresentato una vera e propria “rivoluzione copernicana” della fattispecie in esame, di cui si dirà nei capitoli successivi.</w:t>
      </w:r>
    </w:p>
    <w:p w14:paraId="47E66AD3" w14:textId="4DDFD028" w:rsidR="00285926" w:rsidRDefault="00FE2F32" w:rsidP="0074459A">
      <w:pPr>
        <w:autoSpaceDE w:val="0"/>
        <w:autoSpaceDN w:val="0"/>
        <w:adjustRightInd w:val="0"/>
        <w:spacing w:after="100" w:afterAutospacing="1" w:line="276" w:lineRule="auto"/>
        <w:ind w:firstLine="454"/>
        <w:rPr>
          <w:rFonts w:cs="Times New Roman"/>
        </w:rPr>
      </w:pPr>
      <w:r>
        <w:rPr>
          <w:rFonts w:cs="Times New Roman"/>
        </w:rPr>
        <w:t>Divergenze</w:t>
      </w:r>
      <w:r w:rsidR="001101D2">
        <w:rPr>
          <w:rFonts w:cs="Times New Roman"/>
        </w:rPr>
        <w:t xml:space="preserve"> significative possono risco</w:t>
      </w:r>
      <w:r w:rsidR="00276DC4">
        <w:rPr>
          <w:rFonts w:cs="Times New Roman"/>
        </w:rPr>
        <w:t xml:space="preserve">ntrarsi </w:t>
      </w:r>
      <w:r w:rsidR="00285926">
        <w:rPr>
          <w:rFonts w:cs="Times New Roman"/>
        </w:rPr>
        <w:t xml:space="preserve">invece </w:t>
      </w:r>
      <w:r w:rsidR="00276DC4">
        <w:rPr>
          <w:rFonts w:cs="Times New Roman"/>
        </w:rPr>
        <w:t>sul piano sanzionatorio</w:t>
      </w:r>
      <w:r>
        <w:rPr>
          <w:rStyle w:val="Rimandonotaapidipagina"/>
          <w:rFonts w:cs="Times New Roman"/>
        </w:rPr>
        <w:footnoteReference w:id="110"/>
      </w:r>
      <w:r w:rsidR="00276DC4">
        <w:rPr>
          <w:rFonts w:cs="Times New Roman"/>
        </w:rPr>
        <w:t>.</w:t>
      </w:r>
      <w:r>
        <w:rPr>
          <w:rFonts w:cs="Times New Roman"/>
        </w:rPr>
        <w:t xml:space="preserve"> </w:t>
      </w:r>
      <w:r w:rsidR="00285926">
        <w:rPr>
          <w:rFonts w:cs="Times New Roman"/>
        </w:rPr>
        <w:t xml:space="preserve">Rimandando a quanto si dirà sull’apparato sanzionatorio del T.U.F. in sede di analisi delle singole norme, nel presente capitolo si </w:t>
      </w:r>
      <w:r w:rsidR="00CB440F">
        <w:rPr>
          <w:rFonts w:cs="Times New Roman"/>
        </w:rPr>
        <w:t>rileva</w:t>
      </w:r>
      <w:r w:rsidR="00285926">
        <w:rPr>
          <w:rFonts w:cs="Times New Roman"/>
        </w:rPr>
        <w:t xml:space="preserve"> come il quadro sanzionatorio fosse </w:t>
      </w:r>
      <w:r w:rsidR="00CB440F">
        <w:rPr>
          <w:rFonts w:cs="Times New Roman"/>
        </w:rPr>
        <w:t xml:space="preserve">stato </w:t>
      </w:r>
      <w:r w:rsidR="00285926">
        <w:rPr>
          <w:rFonts w:cs="Times New Roman"/>
        </w:rPr>
        <w:t xml:space="preserve">particolarmente </w:t>
      </w:r>
      <w:r w:rsidR="006303BA">
        <w:rPr>
          <w:rFonts w:cs="Times New Roman"/>
        </w:rPr>
        <w:t>inasprito, a</w:t>
      </w:r>
      <w:r w:rsidR="00285926">
        <w:rPr>
          <w:rFonts w:cs="Times New Roman"/>
        </w:rPr>
        <w:t xml:space="preserve"> conferma </w:t>
      </w:r>
      <w:r w:rsidR="006303BA">
        <w:rPr>
          <w:rFonts w:cs="Times New Roman"/>
        </w:rPr>
        <w:t>del</w:t>
      </w:r>
      <w:r w:rsidR="00285926">
        <w:rPr>
          <w:rFonts w:cs="Times New Roman"/>
        </w:rPr>
        <w:t xml:space="preserve">la tendenza del legislatore per un deciso aumento delle pene con riferimento a tale fattispecie. In particolare la legge comunitaria </w:t>
      </w:r>
      <w:r w:rsidR="00CB440F">
        <w:rPr>
          <w:rFonts w:cs="Times New Roman"/>
        </w:rPr>
        <w:t xml:space="preserve">62/2005 </w:t>
      </w:r>
      <w:r w:rsidR="00285926">
        <w:rPr>
          <w:rFonts w:cs="Times New Roman"/>
        </w:rPr>
        <w:t>prevedeva la reclusione da uno a sei anni</w:t>
      </w:r>
      <w:r w:rsidR="006303BA">
        <w:rPr>
          <w:rFonts w:cs="Times New Roman"/>
        </w:rPr>
        <w:t>,</w:t>
      </w:r>
      <w:r w:rsidR="00285926">
        <w:rPr>
          <w:rFonts w:cs="Times New Roman"/>
        </w:rPr>
        <w:t xml:space="preserve"> cui si aggiungeva la multa da ventimila euro fino a cinque milioni di euro. Ad essa si aggiunge, secondo una disposizione ancora vigente, la possibilità per i</w:t>
      </w:r>
      <w:r w:rsidR="00285926" w:rsidRPr="00D74247">
        <w:rPr>
          <w:rFonts w:cs="Times New Roman"/>
        </w:rPr>
        <w:t xml:space="preserve">l giudice di </w:t>
      </w:r>
      <w:r w:rsidR="00787258">
        <w:rPr>
          <w:rFonts w:cs="Times New Roman"/>
          <w:i/>
        </w:rPr>
        <w:t>«</w:t>
      </w:r>
      <w:r w:rsidR="00285926" w:rsidRPr="002104CA">
        <w:rPr>
          <w:rFonts w:cs="Times New Roman"/>
          <w:i/>
        </w:rPr>
        <w:t>aumentare la multa fino al triplo o fino al maggiore importo di dieci volte il prodotto o il prof</w:t>
      </w:r>
      <w:r w:rsidR="00285926" w:rsidRPr="00D74247">
        <w:rPr>
          <w:rFonts w:cs="Times New Roman"/>
          <w:i/>
        </w:rPr>
        <w:t>itto conseguito dal reato quando, per la rilevante offensività del fatto, per le qualità personali del colpevole o per l'entità del prodotto o del profitto conseguito dal reato, essa appare inadeguata anche se applicata nel massimo</w:t>
      </w:r>
      <w:r w:rsidR="00787258">
        <w:rPr>
          <w:rFonts w:cs="Times New Roman"/>
          <w:i/>
        </w:rPr>
        <w:t>».</w:t>
      </w:r>
    </w:p>
    <w:p w14:paraId="6D9CFC96" w14:textId="77777777" w:rsidR="003C5A2C" w:rsidRPr="00D74247" w:rsidRDefault="00285926" w:rsidP="0074459A">
      <w:pPr>
        <w:spacing w:before="100" w:beforeAutospacing="1" w:line="276" w:lineRule="auto"/>
        <w:ind w:firstLine="454"/>
        <w:rPr>
          <w:rFonts w:cs="Times New Roman"/>
        </w:rPr>
      </w:pPr>
      <w:r>
        <w:rPr>
          <w:rFonts w:cs="Times New Roman"/>
        </w:rPr>
        <w:t>Da ultimo, la l. 62 del 2005 ha introdotto la responsabilità amministrativa derivante da reato ex d.lgs. 231 del 2001 per tutti i reati del Titolo I bis del T.U.F.</w:t>
      </w:r>
      <w:r w:rsidR="00FE2F32">
        <w:rPr>
          <w:rFonts w:cs="Times New Roman"/>
        </w:rPr>
        <w:t xml:space="preserve"> </w:t>
      </w:r>
      <w:r>
        <w:rPr>
          <w:rFonts w:cs="Times New Roman"/>
        </w:rPr>
        <w:t>In tali casi la sanzione amministrativa prevista per l’ente varia dalle quattrocento alle mille quote</w:t>
      </w:r>
      <w:r w:rsidR="00CB440F">
        <w:rPr>
          <w:rStyle w:val="Rimandonotaapidipagina"/>
          <w:rFonts w:cs="Times New Roman"/>
        </w:rPr>
        <w:footnoteReference w:id="111"/>
      </w:r>
      <w:r>
        <w:rPr>
          <w:rFonts w:cs="Times New Roman"/>
        </w:rPr>
        <w:t>, e può essere aumentata fino a dieci volte il prodotto o il profitto derivante dal reato se tale prodotto o profitto sia stato di rilevante entità.</w:t>
      </w:r>
    </w:p>
    <w:p w14:paraId="34B9D4E5" w14:textId="77777777" w:rsidR="00500F2F" w:rsidRDefault="00FE2F32" w:rsidP="0074459A">
      <w:pPr>
        <w:spacing w:before="100" w:beforeAutospacing="1" w:line="276" w:lineRule="auto"/>
        <w:ind w:firstLine="454"/>
        <w:rPr>
          <w:rFonts w:cs="Times New Roman"/>
        </w:rPr>
      </w:pPr>
      <w:r>
        <w:rPr>
          <w:rFonts w:cs="Times New Roman"/>
        </w:rPr>
        <w:t xml:space="preserve">L’innovazione sicuramente più importante prevista dalla l. 62/2005 è </w:t>
      </w:r>
      <w:r w:rsidR="0014196E">
        <w:rPr>
          <w:rFonts w:cs="Times New Roman"/>
        </w:rPr>
        <w:t>rappresentata dal</w:t>
      </w:r>
      <w:r>
        <w:rPr>
          <w:rFonts w:cs="Times New Roman"/>
        </w:rPr>
        <w:t xml:space="preserve">l’introduzione </w:t>
      </w:r>
      <w:r w:rsidR="0014196E">
        <w:rPr>
          <w:rFonts w:cs="Times New Roman"/>
        </w:rPr>
        <w:t xml:space="preserve">all’art. 187 </w:t>
      </w:r>
      <w:r w:rsidR="0014196E" w:rsidRPr="00CB440F">
        <w:rPr>
          <w:rFonts w:cs="Times New Roman"/>
          <w:i/>
        </w:rPr>
        <w:t>ter</w:t>
      </w:r>
      <w:r w:rsidR="0014196E">
        <w:rPr>
          <w:rFonts w:cs="Times New Roman"/>
        </w:rPr>
        <w:t xml:space="preserve"> del T.U.F.</w:t>
      </w:r>
      <w:r w:rsidR="00046FDD">
        <w:rPr>
          <w:rStyle w:val="Rimandonotaapidipagina"/>
          <w:rFonts w:cs="Times New Roman"/>
        </w:rPr>
        <w:footnoteReference w:id="112"/>
      </w:r>
      <w:r w:rsidR="00CB440F" w:rsidRPr="00CB440F">
        <w:rPr>
          <w:rFonts w:cs="Times New Roman"/>
        </w:rPr>
        <w:t xml:space="preserve"> </w:t>
      </w:r>
      <w:r w:rsidR="00CB440F">
        <w:rPr>
          <w:rFonts w:cs="Times New Roman"/>
        </w:rPr>
        <w:t>di una ulteriore fattispecie di manipolazione di mercato</w:t>
      </w:r>
      <w:r w:rsidR="00C510C1">
        <w:rPr>
          <w:rFonts w:cs="Times New Roman"/>
        </w:rPr>
        <w:t xml:space="preserve"> quale </w:t>
      </w:r>
      <w:r w:rsidR="00500F2F">
        <w:rPr>
          <w:rFonts w:cs="Times New Roman"/>
        </w:rPr>
        <w:t>illecito amministrativo.</w:t>
      </w:r>
    </w:p>
    <w:p w14:paraId="5829157B" w14:textId="08FD87C5" w:rsidR="0014196E" w:rsidRDefault="00500F2F" w:rsidP="0074459A">
      <w:pPr>
        <w:spacing w:before="100" w:beforeAutospacing="1" w:line="276" w:lineRule="auto"/>
        <w:ind w:firstLine="454"/>
        <w:rPr>
          <w:rFonts w:cs="Times New Roman"/>
        </w:rPr>
      </w:pPr>
      <w:r>
        <w:rPr>
          <w:rFonts w:cs="Times New Roman"/>
        </w:rPr>
        <w:t>Riservando un’analisi più compiuta nel secondo capitolo</w:t>
      </w:r>
      <w:r w:rsidR="00CB440F">
        <w:rPr>
          <w:rFonts w:cs="Times New Roman"/>
        </w:rPr>
        <w:t>,</w:t>
      </w:r>
      <w:r>
        <w:rPr>
          <w:rFonts w:cs="Times New Roman"/>
        </w:rPr>
        <w:t xml:space="preserve"> </w:t>
      </w:r>
      <w:r w:rsidR="00CB440F">
        <w:rPr>
          <w:rFonts w:cs="Times New Roman"/>
        </w:rPr>
        <w:t>si può</w:t>
      </w:r>
      <w:r>
        <w:rPr>
          <w:rFonts w:cs="Times New Roman"/>
        </w:rPr>
        <w:t xml:space="preserve"> già anticipare che la riforma ha realizzato</w:t>
      </w:r>
      <w:r w:rsidR="00C510C1">
        <w:rPr>
          <w:rFonts w:cs="Times New Roman"/>
        </w:rPr>
        <w:t xml:space="preserve"> un singolare sistema a “doppio binario”</w:t>
      </w:r>
      <w:r>
        <w:rPr>
          <w:rFonts w:cs="Times New Roman"/>
        </w:rPr>
        <w:t>.</w:t>
      </w:r>
      <w:r w:rsidR="002E63E3">
        <w:rPr>
          <w:rFonts w:cs="Times New Roman"/>
        </w:rPr>
        <w:t xml:space="preserve"> </w:t>
      </w:r>
      <w:r w:rsidR="00CB440F">
        <w:rPr>
          <w:rFonts w:cs="Times New Roman"/>
        </w:rPr>
        <w:t>L</w:t>
      </w:r>
      <w:r w:rsidR="002E63E3">
        <w:rPr>
          <w:rFonts w:cs="Times New Roman"/>
        </w:rPr>
        <w:t>’illecito amministrativo</w:t>
      </w:r>
      <w:r>
        <w:rPr>
          <w:rFonts w:cs="Times New Roman"/>
        </w:rPr>
        <w:t xml:space="preserve"> di cui all’art. 187 </w:t>
      </w:r>
      <w:r w:rsidRPr="00CB440F">
        <w:rPr>
          <w:rFonts w:cs="Times New Roman"/>
          <w:i/>
        </w:rPr>
        <w:t>ter</w:t>
      </w:r>
      <w:r w:rsidR="002E63E3">
        <w:rPr>
          <w:rFonts w:cs="Times New Roman"/>
        </w:rPr>
        <w:t xml:space="preserve"> </w:t>
      </w:r>
      <w:r w:rsidR="00046FDD">
        <w:rPr>
          <w:rFonts w:cs="Times New Roman"/>
        </w:rPr>
        <w:t>punisce ad ampio spettro</w:t>
      </w:r>
      <w:r w:rsidR="0091506C">
        <w:rPr>
          <w:rFonts w:cs="Times New Roman"/>
        </w:rPr>
        <w:t xml:space="preserve"> le</w:t>
      </w:r>
      <w:r w:rsidR="00046FDD">
        <w:rPr>
          <w:rFonts w:cs="Times New Roman"/>
        </w:rPr>
        <w:t xml:space="preserve"> condotte </w:t>
      </w:r>
      <w:r w:rsidR="0091506C">
        <w:rPr>
          <w:rFonts w:cs="Times New Roman"/>
        </w:rPr>
        <w:t xml:space="preserve">considerate </w:t>
      </w:r>
      <w:r w:rsidR="00046FDD">
        <w:rPr>
          <w:rFonts w:cs="Times New Roman"/>
        </w:rPr>
        <w:t>pericolose e prodromiche</w:t>
      </w:r>
      <w:r w:rsidR="004B4861">
        <w:rPr>
          <w:rFonts w:cs="Times New Roman"/>
        </w:rPr>
        <w:t xml:space="preserve"> al reato</w:t>
      </w:r>
      <w:r w:rsidR="00046FDD">
        <w:rPr>
          <w:rFonts w:cs="Times New Roman"/>
        </w:rPr>
        <w:t>,</w:t>
      </w:r>
      <w:r w:rsidR="004B4BFA">
        <w:rPr>
          <w:rFonts w:cs="Times New Roman"/>
        </w:rPr>
        <w:t xml:space="preserve"> mentre</w:t>
      </w:r>
      <w:r w:rsidR="00046FDD">
        <w:rPr>
          <w:rFonts w:cs="Times New Roman"/>
        </w:rPr>
        <w:t xml:space="preserve"> la fattispecie penale</w:t>
      </w:r>
      <w:r>
        <w:rPr>
          <w:rFonts w:cs="Times New Roman"/>
        </w:rPr>
        <w:t xml:space="preserve"> dell’art. 185</w:t>
      </w:r>
      <w:r w:rsidR="00046FDD">
        <w:rPr>
          <w:rFonts w:cs="Times New Roman"/>
        </w:rPr>
        <w:t xml:space="preserve"> sanziona solo </w:t>
      </w:r>
      <w:r>
        <w:rPr>
          <w:rFonts w:cs="Times New Roman"/>
        </w:rPr>
        <w:t>quel</w:t>
      </w:r>
      <w:r w:rsidR="00046FDD">
        <w:rPr>
          <w:rFonts w:cs="Times New Roman"/>
        </w:rPr>
        <w:t>le condotte che siano state ef</w:t>
      </w:r>
      <w:r>
        <w:rPr>
          <w:rFonts w:cs="Times New Roman"/>
        </w:rPr>
        <w:t xml:space="preserve">fettivamente idonee a </w:t>
      </w:r>
      <w:r w:rsidR="005C7248">
        <w:rPr>
          <w:rFonts w:cs="Times New Roman"/>
        </w:rPr>
        <w:t>turbare i mercati</w:t>
      </w:r>
      <w:r w:rsidR="0091506C">
        <w:rPr>
          <w:rFonts w:cs="Times New Roman"/>
        </w:rPr>
        <w:t xml:space="preserve"> e per</w:t>
      </w:r>
      <w:r>
        <w:rPr>
          <w:rFonts w:cs="Times New Roman"/>
        </w:rPr>
        <w:t xml:space="preserve"> </w:t>
      </w:r>
      <w:r w:rsidR="00CB440F">
        <w:rPr>
          <w:rFonts w:cs="Times New Roman"/>
        </w:rPr>
        <w:t>le quali</w:t>
      </w:r>
      <w:r>
        <w:rPr>
          <w:rFonts w:cs="Times New Roman"/>
        </w:rPr>
        <w:t xml:space="preserve"> l’agente abbia integrato anche l’elemento </w:t>
      </w:r>
      <w:r w:rsidR="005C7248">
        <w:rPr>
          <w:rFonts w:cs="Times New Roman"/>
        </w:rPr>
        <w:t>s</w:t>
      </w:r>
      <w:r>
        <w:rPr>
          <w:rFonts w:cs="Times New Roman"/>
        </w:rPr>
        <w:t>oggettivo</w:t>
      </w:r>
      <w:r>
        <w:rPr>
          <w:rStyle w:val="Rimandonotaapidipagina"/>
          <w:rFonts w:cs="Times New Roman"/>
        </w:rPr>
        <w:footnoteReference w:id="113"/>
      </w:r>
      <w:r w:rsidR="00C510C1">
        <w:rPr>
          <w:rFonts w:cs="Times New Roman"/>
        </w:rPr>
        <w:t>.</w:t>
      </w:r>
    </w:p>
    <w:p w14:paraId="3B29E3AE" w14:textId="1BA75D3F" w:rsidR="004B4861" w:rsidRDefault="004B4861" w:rsidP="0074459A">
      <w:pPr>
        <w:spacing w:before="100" w:beforeAutospacing="1" w:after="100" w:afterAutospacing="1" w:line="276" w:lineRule="auto"/>
        <w:ind w:firstLine="454"/>
        <w:rPr>
          <w:rFonts w:cs="Times New Roman"/>
        </w:rPr>
      </w:pPr>
      <w:r>
        <w:rPr>
          <w:rFonts w:cs="Times New Roman"/>
        </w:rPr>
        <w:t>In particolare si deve seg</w:t>
      </w:r>
      <w:r w:rsidR="001966FC">
        <w:rPr>
          <w:rFonts w:cs="Times New Roman"/>
        </w:rPr>
        <w:t>nalare come l’art. 187 ter, inc</w:t>
      </w:r>
      <w:r>
        <w:rPr>
          <w:rFonts w:cs="Times New Roman"/>
        </w:rPr>
        <w:t>r</w:t>
      </w:r>
      <w:r w:rsidR="001966FC">
        <w:rPr>
          <w:rFonts w:cs="Times New Roman"/>
        </w:rPr>
        <w:t>i</w:t>
      </w:r>
      <w:r>
        <w:rPr>
          <w:rFonts w:cs="Times New Roman"/>
        </w:rPr>
        <w:t xml:space="preserve">minando anche la diffusione di </w:t>
      </w:r>
      <w:r w:rsidR="00787258">
        <w:rPr>
          <w:rFonts w:cs="Times New Roman"/>
          <w:i/>
        </w:rPr>
        <w:t>«</w:t>
      </w:r>
      <w:r w:rsidRPr="004B4861">
        <w:rPr>
          <w:rFonts w:cs="Times New Roman"/>
          <w:i/>
        </w:rPr>
        <w:t>informazioni, voci o notizie false o fuorvianti che forniscano o siano suscettibili di fornire indicazioni false ovvero fuorvianti in merito agli strumenti finanziari</w:t>
      </w:r>
      <w:r w:rsidR="00787258">
        <w:rPr>
          <w:rFonts w:cs="Times New Roman"/>
          <w:i/>
        </w:rPr>
        <w:t>»</w:t>
      </w:r>
      <w:r w:rsidR="001966FC">
        <w:rPr>
          <w:rFonts w:cs="Times New Roman"/>
        </w:rPr>
        <w:t>, viet</w:t>
      </w:r>
      <w:r w:rsidR="00CB440F">
        <w:rPr>
          <w:rFonts w:cs="Times New Roman"/>
        </w:rPr>
        <w:t>i</w:t>
      </w:r>
      <w:r w:rsidR="001966FC">
        <w:rPr>
          <w:rFonts w:cs="Times New Roman"/>
        </w:rPr>
        <w:t xml:space="preserve"> condotte anche </w:t>
      </w:r>
      <w:r w:rsidR="00787258">
        <w:rPr>
          <w:rFonts w:cs="Times New Roman"/>
          <w:i/>
        </w:rPr>
        <w:t>«</w:t>
      </w:r>
      <w:r w:rsidR="001966FC" w:rsidRPr="001966FC">
        <w:rPr>
          <w:rFonts w:cs="Times New Roman"/>
          <w:i/>
        </w:rPr>
        <w:t>solo astrattamente idonee ad alterare il mercato, prescindendo inoltre da valutazioni di tipo quantitativo sull’alterazione</w:t>
      </w:r>
      <w:r w:rsidR="00787258">
        <w:rPr>
          <w:rFonts w:cs="Times New Roman"/>
          <w:i/>
        </w:rPr>
        <w:t>»</w:t>
      </w:r>
      <w:r w:rsidR="001966FC">
        <w:rPr>
          <w:rStyle w:val="Rimandonotaapidipagina"/>
          <w:rFonts w:cs="Times New Roman"/>
          <w:i/>
        </w:rPr>
        <w:footnoteReference w:id="114"/>
      </w:r>
      <w:r w:rsidR="001966FC">
        <w:rPr>
          <w:rFonts w:cs="Times New Roman"/>
        </w:rPr>
        <w:t>.</w:t>
      </w:r>
    </w:p>
    <w:p w14:paraId="51105570" w14:textId="77777777" w:rsidR="001966FC" w:rsidRPr="00022F63" w:rsidRDefault="00F81DDF" w:rsidP="0074459A">
      <w:pPr>
        <w:spacing w:before="100" w:beforeAutospacing="1" w:after="100" w:afterAutospacing="1" w:line="276" w:lineRule="auto"/>
        <w:ind w:firstLine="454"/>
        <w:rPr>
          <w:rFonts w:cs="Times New Roman"/>
        </w:rPr>
      </w:pPr>
      <w:r>
        <w:rPr>
          <w:rFonts w:cs="Times New Roman"/>
        </w:rPr>
        <w:t>Similmente il terzo comma punisce</w:t>
      </w:r>
      <w:r w:rsidR="001900FB">
        <w:rPr>
          <w:rFonts w:cs="Times New Roman"/>
        </w:rPr>
        <w:t>, alle lettere c) e d),</w:t>
      </w:r>
      <w:r>
        <w:rPr>
          <w:rFonts w:cs="Times New Roman"/>
        </w:rPr>
        <w:t xml:space="preserve"> </w:t>
      </w:r>
      <w:r w:rsidR="004C33CD">
        <w:rPr>
          <w:rFonts w:cs="Times New Roman"/>
        </w:rPr>
        <w:t>operazioni</w:t>
      </w:r>
      <w:r>
        <w:rPr>
          <w:rFonts w:cs="Times New Roman"/>
        </w:rPr>
        <w:t xml:space="preserve"> fittizie</w:t>
      </w:r>
      <w:r w:rsidR="001900FB">
        <w:rPr>
          <w:rFonts w:cs="Times New Roman"/>
        </w:rPr>
        <w:t xml:space="preserve"> che diano informazioni ingannevoli al “mercato”, escludendo qualsiasi riferimento all’intensità della turbativa</w:t>
      </w:r>
      <w:r w:rsidR="001900FB">
        <w:rPr>
          <w:rStyle w:val="Rimandonotaapidipagina"/>
          <w:rFonts w:cs="Times New Roman"/>
        </w:rPr>
        <w:footnoteReference w:id="115"/>
      </w:r>
      <w:r w:rsidR="001900FB">
        <w:rPr>
          <w:rFonts w:cs="Times New Roman"/>
        </w:rPr>
        <w:t xml:space="preserve">. </w:t>
      </w:r>
      <w:r w:rsidR="006311FF">
        <w:rPr>
          <w:rFonts w:cs="Times New Roman"/>
        </w:rPr>
        <w:t>Il medesimo comma sanziona inoltre</w:t>
      </w:r>
      <w:r w:rsidR="00BE71D0">
        <w:rPr>
          <w:rFonts w:cs="Times New Roman"/>
        </w:rPr>
        <w:t>, alle lettere a) e b),</w:t>
      </w:r>
      <w:r w:rsidR="001900FB">
        <w:rPr>
          <w:rFonts w:cs="Times New Roman"/>
        </w:rPr>
        <w:t xml:space="preserve"> anche le operazioni</w:t>
      </w:r>
      <w:r>
        <w:rPr>
          <w:rFonts w:cs="Times New Roman"/>
        </w:rPr>
        <w:t xml:space="preserve"> reali, </w:t>
      </w:r>
      <w:r w:rsidR="001900FB">
        <w:rPr>
          <w:rFonts w:cs="Times New Roman"/>
        </w:rPr>
        <w:t>ma</w:t>
      </w:r>
      <w:r w:rsidR="006311FF">
        <w:rPr>
          <w:rFonts w:cs="Times New Roman"/>
        </w:rPr>
        <w:t xml:space="preserve"> </w:t>
      </w:r>
      <w:r w:rsidR="00BE71D0">
        <w:rPr>
          <w:rFonts w:cs="Times New Roman"/>
        </w:rPr>
        <w:t xml:space="preserve">finalizzate a dirigere l’andamento del mercato e quindi a fornire, anche solo potenzialmente, </w:t>
      </w:r>
      <w:r w:rsidR="006311FF">
        <w:rPr>
          <w:rFonts w:cs="Times New Roman"/>
        </w:rPr>
        <w:t>indicazioni false o fuorvianti in merito alla quotazione degli strumenti finanziari</w:t>
      </w:r>
      <w:r w:rsidR="00BE71D0">
        <w:rPr>
          <w:rFonts w:cs="Times New Roman"/>
        </w:rPr>
        <w:t xml:space="preserve">. Anche tale norma reprime condotte che rappresentano il mero </w:t>
      </w:r>
      <w:r>
        <w:rPr>
          <w:rFonts w:cs="Times New Roman"/>
        </w:rPr>
        <w:t xml:space="preserve">antecedente della manipolazione, </w:t>
      </w:r>
      <w:r w:rsidR="001F1B0E">
        <w:rPr>
          <w:rFonts w:cs="Times New Roman"/>
        </w:rPr>
        <w:t>e nelle quali</w:t>
      </w:r>
      <w:r>
        <w:rPr>
          <w:rFonts w:cs="Times New Roman"/>
        </w:rPr>
        <w:t xml:space="preserve"> il legislatore </w:t>
      </w:r>
      <w:r w:rsidR="00BE71D0">
        <w:rPr>
          <w:rFonts w:cs="Times New Roman"/>
        </w:rPr>
        <w:t>vuole reprimere un pericolo ancora solo potenziale</w:t>
      </w:r>
      <w:r w:rsidR="00BE71D0">
        <w:rPr>
          <w:rStyle w:val="Rimandonotaapidipagina"/>
          <w:rFonts w:cs="Times New Roman"/>
        </w:rPr>
        <w:footnoteReference w:id="116"/>
      </w:r>
      <w:r w:rsidR="00BE71D0">
        <w:rPr>
          <w:rFonts w:cs="Times New Roman"/>
        </w:rPr>
        <w:t>.</w:t>
      </w:r>
    </w:p>
    <w:p w14:paraId="7AAA919C" w14:textId="72ED5FE0" w:rsidR="00022F63" w:rsidRPr="00E9506B" w:rsidRDefault="00BE71D0" w:rsidP="0074459A">
      <w:pPr>
        <w:autoSpaceDE w:val="0"/>
        <w:autoSpaceDN w:val="0"/>
        <w:adjustRightInd w:val="0"/>
        <w:spacing w:after="100" w:afterAutospacing="1" w:line="276" w:lineRule="auto"/>
        <w:ind w:firstLine="454"/>
        <w:rPr>
          <w:rFonts w:cs="Times New Roman"/>
        </w:rPr>
      </w:pPr>
      <w:r w:rsidRPr="00022F63">
        <w:rPr>
          <w:rFonts w:cs="Times New Roman"/>
        </w:rPr>
        <w:t>Volendo limitarci in questa sede a tratteggiare la struttura del sistema, si deve evidenziare come le ipotesi contenute nel terzo comma necessitino di integrazione</w:t>
      </w:r>
      <w:r w:rsidR="00022F63" w:rsidRPr="00022F63">
        <w:rPr>
          <w:rFonts w:cs="Times New Roman"/>
        </w:rPr>
        <w:t xml:space="preserve">, poiché esse fanno riferimento a ipotesi di carattere strettamente tecnico. A tal fine il settimo comma dell’art. 187 </w:t>
      </w:r>
      <w:r w:rsidR="00022F63" w:rsidRPr="001F1B0E">
        <w:rPr>
          <w:rFonts w:cs="Times New Roman"/>
          <w:i/>
        </w:rPr>
        <w:t>ter</w:t>
      </w:r>
      <w:r w:rsidR="00022F63" w:rsidRPr="00022F63">
        <w:rPr>
          <w:rFonts w:cs="Times New Roman"/>
        </w:rPr>
        <w:t xml:space="preserve"> prevede che la Consob </w:t>
      </w:r>
      <w:r w:rsidR="00E9506B">
        <w:rPr>
          <w:rFonts w:cs="Times New Roman"/>
        </w:rPr>
        <w:t>esemplifichi</w:t>
      </w:r>
      <w:r w:rsidR="00022F63" w:rsidRPr="00022F63">
        <w:rPr>
          <w:rFonts w:cs="Times New Roman"/>
        </w:rPr>
        <w:t xml:space="preserve"> </w:t>
      </w:r>
      <w:r w:rsidR="00787258">
        <w:rPr>
          <w:rFonts w:cs="Times New Roman"/>
        </w:rPr>
        <w:t>«</w:t>
      </w:r>
      <w:r w:rsidR="00022F63" w:rsidRPr="00022F63">
        <w:rPr>
          <w:rFonts w:cs="Times New Roman"/>
          <w:i/>
        </w:rPr>
        <w:t>gli elementi e le circostanze da prendere in considerazione per la valutazione dei comportamenti idonei a costituire manipolazioni di mercato</w:t>
      </w:r>
      <w:r w:rsidR="00787258">
        <w:rPr>
          <w:rFonts w:cs="Times New Roman"/>
          <w:i/>
        </w:rPr>
        <w:t>»</w:t>
      </w:r>
      <w:r w:rsidR="00E9506B">
        <w:rPr>
          <w:rFonts w:cs="Times New Roman"/>
        </w:rPr>
        <w:t>, il che equivale a fornire</w:t>
      </w:r>
      <w:r w:rsidR="00022F63" w:rsidRPr="00022F63">
        <w:rPr>
          <w:rFonts w:cs="Times New Roman"/>
        </w:rPr>
        <w:t xml:space="preserve"> una disciplina di dettaglio rispetto a norme </w:t>
      </w:r>
      <w:r w:rsidR="00E9506B">
        <w:rPr>
          <w:rFonts w:cs="Times New Roman"/>
        </w:rPr>
        <w:t>altrimenti vaghe e dalla</w:t>
      </w:r>
      <w:r w:rsidR="00022F63" w:rsidRPr="00022F63">
        <w:rPr>
          <w:rFonts w:cs="Times New Roman"/>
        </w:rPr>
        <w:t xml:space="preserve"> scarsa attitudine prescrittiva</w:t>
      </w:r>
      <w:r w:rsidR="00E9506B">
        <w:rPr>
          <w:rStyle w:val="Rimandonotaapidipagina"/>
          <w:rFonts w:cs="Times New Roman"/>
        </w:rPr>
        <w:footnoteReference w:id="117"/>
      </w:r>
      <w:r w:rsidR="00022F63" w:rsidRPr="00022F63">
        <w:rPr>
          <w:rFonts w:cs="Times New Roman"/>
        </w:rPr>
        <w:t>. Analogamente dovrà fare</w:t>
      </w:r>
      <w:r w:rsidR="007B126E">
        <w:rPr>
          <w:rFonts w:cs="Times New Roman"/>
        </w:rPr>
        <w:t xml:space="preserve"> la Consob</w:t>
      </w:r>
      <w:r w:rsidR="00022F63" w:rsidRPr="00022F63">
        <w:rPr>
          <w:rFonts w:cs="Times New Roman"/>
        </w:rPr>
        <w:t xml:space="preserve"> per individuare</w:t>
      </w:r>
      <w:r w:rsidR="007B126E">
        <w:rPr>
          <w:rFonts w:cs="Times New Roman"/>
        </w:rPr>
        <w:t xml:space="preserve"> le</w:t>
      </w:r>
      <w:r w:rsidR="00022F63" w:rsidRPr="00022F63">
        <w:rPr>
          <w:rFonts w:cs="Times New Roman"/>
        </w:rPr>
        <w:t xml:space="preserve"> </w:t>
      </w:r>
      <w:r w:rsidR="00787258">
        <w:rPr>
          <w:rFonts w:cs="Times New Roman"/>
          <w:i/>
        </w:rPr>
        <w:t>«</w:t>
      </w:r>
      <w:r w:rsidR="00022F63" w:rsidRPr="00022F63">
        <w:rPr>
          <w:rFonts w:cs="Times New Roman"/>
          <w:i/>
        </w:rPr>
        <w:t>prassi di mercato ammesse nel mercato interessato</w:t>
      </w:r>
      <w:r w:rsidR="00787258">
        <w:rPr>
          <w:rFonts w:cs="Times New Roman"/>
          <w:i/>
        </w:rPr>
        <w:t>»</w:t>
      </w:r>
      <w:r w:rsidR="007B126E">
        <w:rPr>
          <w:rFonts w:cs="Times New Roman"/>
        </w:rPr>
        <w:t>, come espressamente prescritto dalla lettera c) dell’art. 180 T.U.F., primo comma</w:t>
      </w:r>
      <w:r w:rsidR="007B126E">
        <w:rPr>
          <w:rStyle w:val="Rimandonotaapidipagina"/>
          <w:rFonts w:cs="Times New Roman"/>
        </w:rPr>
        <w:footnoteReference w:id="118"/>
      </w:r>
      <w:r w:rsidR="00022F63" w:rsidRPr="00022F63">
        <w:rPr>
          <w:rFonts w:cs="Times New Roman"/>
          <w:i/>
        </w:rPr>
        <w:t>.</w:t>
      </w:r>
    </w:p>
    <w:p w14:paraId="7CA10B66" w14:textId="77777777" w:rsidR="00BE71D0" w:rsidRPr="00022F63" w:rsidRDefault="00022F63" w:rsidP="0074459A">
      <w:pPr>
        <w:spacing w:before="100" w:beforeAutospacing="1" w:after="100" w:afterAutospacing="1" w:line="276" w:lineRule="auto"/>
        <w:ind w:firstLine="454"/>
        <w:rPr>
          <w:rFonts w:cs="Times New Roman"/>
        </w:rPr>
      </w:pPr>
      <w:r>
        <w:rPr>
          <w:rFonts w:cs="Times New Roman"/>
        </w:rPr>
        <w:t xml:space="preserve">Infine il sesto comma prevede la possibilità, per il Ministero dell’economia, di integrare </w:t>
      </w:r>
      <w:r w:rsidR="00E9506B">
        <w:rPr>
          <w:rFonts w:cs="Times New Roman"/>
        </w:rPr>
        <w:t xml:space="preserve">fattispecie sanzionate elencate dal terzo comma, fermo restando il rispetto della </w:t>
      </w:r>
      <w:r w:rsidR="00D343B3">
        <w:rPr>
          <w:rFonts w:cs="Times New Roman"/>
        </w:rPr>
        <w:t>Direttiva</w:t>
      </w:r>
      <w:r w:rsidR="00E9506B">
        <w:rPr>
          <w:rFonts w:cs="Times New Roman"/>
        </w:rPr>
        <w:t xml:space="preserve"> 2003/6/CE.</w:t>
      </w:r>
    </w:p>
    <w:p w14:paraId="493F4077" w14:textId="77777777" w:rsidR="00FE2F32" w:rsidRDefault="00EE37E8" w:rsidP="0074459A">
      <w:pPr>
        <w:spacing w:before="100" w:beforeAutospacing="1" w:after="100" w:afterAutospacing="1" w:line="276" w:lineRule="auto"/>
        <w:ind w:firstLine="454"/>
        <w:rPr>
          <w:rFonts w:cs="Times New Roman"/>
        </w:rPr>
      </w:pPr>
      <w:r>
        <w:rPr>
          <w:rFonts w:cs="Times New Roman"/>
        </w:rPr>
        <w:t xml:space="preserve">Salvo la diversa configurazione come illecito amministrativo piuttosto che penale, l’art. 187 </w:t>
      </w:r>
      <w:r w:rsidRPr="001F1B0E">
        <w:rPr>
          <w:rFonts w:cs="Times New Roman"/>
          <w:i/>
        </w:rPr>
        <w:t>ter</w:t>
      </w:r>
      <w:r>
        <w:rPr>
          <w:rFonts w:cs="Times New Roman"/>
        </w:rPr>
        <w:t xml:space="preserve"> prevede</w:t>
      </w:r>
      <w:r w:rsidR="00FB4926">
        <w:rPr>
          <w:rFonts w:cs="Times New Roman"/>
        </w:rPr>
        <w:t xml:space="preserve"> le</w:t>
      </w:r>
      <w:r>
        <w:rPr>
          <w:rFonts w:cs="Times New Roman"/>
        </w:rPr>
        <w:t xml:space="preserve"> sanzioni </w:t>
      </w:r>
      <w:r w:rsidR="00FB4926">
        <w:rPr>
          <w:rFonts w:cs="Times New Roman"/>
        </w:rPr>
        <w:t>pecuniarie, le circostanze aggravanti e la confisca con cui è punito l’illecito amministrativo. Inoltre</w:t>
      </w:r>
      <w:r w:rsidR="00B508F7">
        <w:rPr>
          <w:rFonts w:cs="Times New Roman"/>
        </w:rPr>
        <w:t xml:space="preserve"> con la nuova fattispecie di illecito amministrativo si introduce, all’art. 187 </w:t>
      </w:r>
      <w:r w:rsidR="00B508F7" w:rsidRPr="001F1B0E">
        <w:rPr>
          <w:rFonts w:cs="Times New Roman"/>
          <w:i/>
        </w:rPr>
        <w:t>quinquies</w:t>
      </w:r>
      <w:r w:rsidR="00B508F7">
        <w:rPr>
          <w:rFonts w:cs="Times New Roman"/>
        </w:rPr>
        <w:t>, una novità importante</w:t>
      </w:r>
      <w:r w:rsidR="00FE2F32">
        <w:rPr>
          <w:rFonts w:cs="Times New Roman"/>
        </w:rPr>
        <w:t xml:space="preserve"> anche a livello sistemico</w:t>
      </w:r>
      <w:r w:rsidR="00B508F7">
        <w:rPr>
          <w:rFonts w:cs="Times New Roman"/>
        </w:rPr>
        <w:t>:</w:t>
      </w:r>
      <w:r w:rsidR="00FE2F32">
        <w:rPr>
          <w:rFonts w:cs="Times New Roman"/>
        </w:rPr>
        <w:t xml:space="preserve"> una responsabilità amministrativa per l’ente </w:t>
      </w:r>
      <w:r w:rsidR="00B508F7">
        <w:rPr>
          <w:rFonts w:cs="Times New Roman"/>
        </w:rPr>
        <w:t>analoga</w:t>
      </w:r>
      <w:r w:rsidR="00FE2F32">
        <w:rPr>
          <w:rFonts w:cs="Times New Roman"/>
        </w:rPr>
        <w:t xml:space="preserve"> a quella </w:t>
      </w:r>
      <w:r w:rsidR="00B508F7">
        <w:rPr>
          <w:rFonts w:cs="Times New Roman"/>
        </w:rPr>
        <w:t xml:space="preserve">già </w:t>
      </w:r>
      <w:r w:rsidR="00FE2F32">
        <w:rPr>
          <w:rFonts w:cs="Times New Roman"/>
        </w:rPr>
        <w:t xml:space="preserve">prevista dal d.lgs. 231 del 2001, ma </w:t>
      </w:r>
      <w:r w:rsidR="00B508F7">
        <w:rPr>
          <w:rFonts w:cs="Times New Roman"/>
        </w:rPr>
        <w:t xml:space="preserve">non </w:t>
      </w:r>
      <w:r w:rsidR="00FE2F32">
        <w:rPr>
          <w:rFonts w:cs="Times New Roman"/>
        </w:rPr>
        <w:t>derivante dall’illecito penale, bensì da quello amministrativo.</w:t>
      </w:r>
    </w:p>
    <w:p w14:paraId="1A98EB2D" w14:textId="4A92E2E8" w:rsidR="00496844" w:rsidRPr="002F10A2" w:rsidRDefault="00867D5B" w:rsidP="0074459A">
      <w:pPr>
        <w:pStyle w:val="Titolo2"/>
        <w:numPr>
          <w:ilvl w:val="0"/>
          <w:numId w:val="22"/>
        </w:numPr>
      </w:pPr>
      <w:bookmarkStart w:id="20" w:name="_Toc272493057"/>
      <w:r w:rsidRPr="002F10A2">
        <w:t>La l. 262/2005 a tutela dei risparmiatori sul mercato</w:t>
      </w:r>
      <w:bookmarkEnd w:id="20"/>
    </w:p>
    <w:p w14:paraId="7782DDEF" w14:textId="77777777" w:rsidR="00D23424" w:rsidRDefault="008445B6" w:rsidP="0074459A">
      <w:pPr>
        <w:spacing w:before="100" w:beforeAutospacing="1" w:line="276" w:lineRule="auto"/>
        <w:ind w:firstLine="454"/>
        <w:rPr>
          <w:rFonts w:cs="Times New Roman"/>
        </w:rPr>
      </w:pPr>
      <w:r>
        <w:rPr>
          <w:rFonts w:cs="Times New Roman"/>
        </w:rPr>
        <w:t>La legge comunitaria per il 2004 aveva</w:t>
      </w:r>
      <w:r w:rsidR="00135DA8">
        <w:rPr>
          <w:rFonts w:cs="Times New Roman"/>
        </w:rPr>
        <w:t xml:space="preserve"> </w:t>
      </w:r>
      <w:r>
        <w:rPr>
          <w:rFonts w:cs="Times New Roman"/>
        </w:rPr>
        <w:t xml:space="preserve">recepito la </w:t>
      </w:r>
      <w:r w:rsidR="00D343B3">
        <w:rPr>
          <w:rFonts w:cs="Times New Roman"/>
        </w:rPr>
        <w:t>Direttiva</w:t>
      </w:r>
      <w:r>
        <w:rPr>
          <w:rFonts w:cs="Times New Roman"/>
        </w:rPr>
        <w:t xml:space="preserve"> europea</w:t>
      </w:r>
      <w:r w:rsidR="00135DA8">
        <w:rPr>
          <w:rFonts w:cs="Times New Roman"/>
        </w:rPr>
        <w:t xml:space="preserve"> con una</w:t>
      </w:r>
      <w:r w:rsidR="000B1D15">
        <w:rPr>
          <w:rFonts w:cs="Times New Roman"/>
        </w:rPr>
        <w:t xml:space="preserve"> normativa che in via generale</w:t>
      </w:r>
      <w:r w:rsidR="00135DA8">
        <w:rPr>
          <w:rFonts w:cs="Times New Roman"/>
        </w:rPr>
        <w:t xml:space="preserve"> era molto permissiva sul fronte della repressione degli illeciti</w:t>
      </w:r>
      <w:r w:rsidR="000B1D15">
        <w:rPr>
          <w:rFonts w:cs="Times New Roman"/>
        </w:rPr>
        <w:t xml:space="preserve"> di matrice economica, </w:t>
      </w:r>
      <w:r w:rsidR="006B68F5">
        <w:rPr>
          <w:rFonts w:cs="Times New Roman"/>
        </w:rPr>
        <w:t>con la sola eccezione degli illeciti di natura finanziaria</w:t>
      </w:r>
      <w:r w:rsidR="000B1D15">
        <w:rPr>
          <w:rFonts w:cs="Times New Roman"/>
        </w:rPr>
        <w:t>. Ciò andava peraltro in controtendenza rispetto all’andamento della legislazione penale occidentale, che</w:t>
      </w:r>
      <w:r w:rsidR="001F1B0E">
        <w:rPr>
          <w:rFonts w:cs="Times New Roman"/>
        </w:rPr>
        <w:t>,</w:t>
      </w:r>
      <w:r w:rsidR="00D23424">
        <w:rPr>
          <w:rFonts w:cs="Times New Roman"/>
        </w:rPr>
        <w:t xml:space="preserve"> </w:t>
      </w:r>
      <w:r w:rsidR="000B1D15">
        <w:rPr>
          <w:rFonts w:cs="Times New Roman"/>
        </w:rPr>
        <w:t>come visto</w:t>
      </w:r>
      <w:r w:rsidR="001F1B0E">
        <w:rPr>
          <w:rFonts w:cs="Times New Roman"/>
        </w:rPr>
        <w:t>,</w:t>
      </w:r>
      <w:r w:rsidR="000B1D15">
        <w:rPr>
          <w:rFonts w:cs="Times New Roman"/>
        </w:rPr>
        <w:t xml:space="preserve"> è ispirata in massima parte dall’ordinamento statunitense, il quale punisce aspramente tale genere di illeciti.</w:t>
      </w:r>
      <w:r w:rsidR="00D23424">
        <w:rPr>
          <w:rFonts w:cs="Times New Roman"/>
        </w:rPr>
        <w:t xml:space="preserve"> </w:t>
      </w:r>
    </w:p>
    <w:p w14:paraId="728909B0" w14:textId="221AECEE" w:rsidR="00A67A78" w:rsidRDefault="001F1B0E" w:rsidP="0074459A">
      <w:pPr>
        <w:spacing w:before="100" w:beforeAutospacing="1" w:line="276" w:lineRule="auto"/>
        <w:ind w:firstLine="454"/>
        <w:rPr>
          <w:rFonts w:cs="Times New Roman"/>
        </w:rPr>
      </w:pPr>
      <w:r>
        <w:rPr>
          <w:rFonts w:cs="Times New Roman"/>
        </w:rPr>
        <w:t>La</w:t>
      </w:r>
      <w:r w:rsidR="00D23424">
        <w:rPr>
          <w:rFonts w:cs="Times New Roman"/>
        </w:rPr>
        <w:t xml:space="preserve"> prospettiva d</w:t>
      </w:r>
      <w:r>
        <w:rPr>
          <w:rFonts w:cs="Times New Roman"/>
        </w:rPr>
        <w:t>ella</w:t>
      </w:r>
      <w:r w:rsidR="00D23424">
        <w:rPr>
          <w:rFonts w:cs="Times New Roman"/>
        </w:rPr>
        <w:t xml:space="preserve"> tutela “forte” era già stata prevista dal secondo considerando della </w:t>
      </w:r>
      <w:r w:rsidR="00D343B3">
        <w:rPr>
          <w:rFonts w:cs="Times New Roman"/>
        </w:rPr>
        <w:t>Direttiva</w:t>
      </w:r>
      <w:r w:rsidR="00D23424">
        <w:rPr>
          <w:rFonts w:cs="Times New Roman"/>
        </w:rPr>
        <w:t xml:space="preserve"> 2003/6/CE, </w:t>
      </w:r>
      <w:r>
        <w:rPr>
          <w:rFonts w:cs="Times New Roman"/>
        </w:rPr>
        <w:t>che</w:t>
      </w:r>
      <w:r w:rsidR="00D23424">
        <w:rPr>
          <w:rFonts w:cs="Times New Roman"/>
        </w:rPr>
        <w:t xml:space="preserve"> pone quali </w:t>
      </w:r>
      <w:r w:rsidR="00787258">
        <w:rPr>
          <w:rFonts w:cs="Times New Roman"/>
          <w:i/>
        </w:rPr>
        <w:t>«</w:t>
      </w:r>
      <w:r w:rsidR="00D23424" w:rsidRPr="00B46D1A">
        <w:rPr>
          <w:rFonts w:cs="Times New Roman"/>
          <w:i/>
        </w:rPr>
        <w:t>fattori essenziali di crescita e di benessere economico</w:t>
      </w:r>
      <w:r w:rsidR="00787258">
        <w:rPr>
          <w:rFonts w:cs="Times New Roman"/>
          <w:i/>
        </w:rPr>
        <w:t>»</w:t>
      </w:r>
      <w:r w:rsidR="00D23424" w:rsidRPr="00B46D1A">
        <w:rPr>
          <w:rFonts w:cs="Times New Roman"/>
          <w:i/>
        </w:rPr>
        <w:t xml:space="preserve"> </w:t>
      </w:r>
      <w:r w:rsidR="00787258">
        <w:rPr>
          <w:rFonts w:cs="Times New Roman"/>
          <w:i/>
        </w:rPr>
        <w:t>«</w:t>
      </w:r>
      <w:r w:rsidR="00D23424" w:rsidRPr="00B46D1A">
        <w:rPr>
          <w:rFonts w:cs="Times New Roman"/>
          <w:i/>
        </w:rPr>
        <w:t>il regolare funzionamento dei mercati mobiliari e la fiducia del pubblico nei mercati</w:t>
      </w:r>
      <w:r w:rsidR="00787258">
        <w:rPr>
          <w:rFonts w:cs="Times New Roman"/>
          <w:i/>
        </w:rPr>
        <w:t>»</w:t>
      </w:r>
      <w:r w:rsidR="00D23424">
        <w:rPr>
          <w:rFonts w:cs="Times New Roman"/>
        </w:rPr>
        <w:t xml:space="preserve">, ed invero i mercati finanziari erano l’ambito più tutelato dalla legge 62 del 2005. </w:t>
      </w:r>
      <w:r w:rsidR="000B1D15">
        <w:rPr>
          <w:rFonts w:cs="Times New Roman"/>
        </w:rPr>
        <w:t>I</w:t>
      </w:r>
      <w:r w:rsidR="008445B6">
        <w:rPr>
          <w:rFonts w:cs="Times New Roman"/>
        </w:rPr>
        <w:t xml:space="preserve">l legislatore si trovò però ad affrontare una serie di scandali </w:t>
      </w:r>
      <w:r w:rsidR="009A319A">
        <w:rPr>
          <w:rFonts w:cs="Times New Roman"/>
        </w:rPr>
        <w:t>legati al mondo dell’economia</w:t>
      </w:r>
      <w:r w:rsidR="008445B6">
        <w:rPr>
          <w:rFonts w:cs="Times New Roman"/>
        </w:rPr>
        <w:t xml:space="preserve">, tra i quali </w:t>
      </w:r>
      <w:r>
        <w:rPr>
          <w:rFonts w:cs="Times New Roman"/>
        </w:rPr>
        <w:t xml:space="preserve">si </w:t>
      </w:r>
      <w:r w:rsidR="008445B6">
        <w:rPr>
          <w:rFonts w:cs="Times New Roman"/>
        </w:rPr>
        <w:t>ricord</w:t>
      </w:r>
      <w:r>
        <w:rPr>
          <w:rFonts w:cs="Times New Roman"/>
        </w:rPr>
        <w:t>an</w:t>
      </w:r>
      <w:r w:rsidR="008445B6">
        <w:rPr>
          <w:rFonts w:cs="Times New Roman"/>
        </w:rPr>
        <w:t>o</w:t>
      </w:r>
      <w:r w:rsidR="009A319A">
        <w:rPr>
          <w:rFonts w:cs="Times New Roman"/>
        </w:rPr>
        <w:t xml:space="preserve"> a livello internazionale i casi Enron e Worldcom e in Italia le vicende Cirio e Parmalat</w:t>
      </w:r>
      <w:r w:rsidR="00C6143B">
        <w:rPr>
          <w:rStyle w:val="Rimandonotaapidipagina"/>
          <w:rFonts w:cs="Times New Roman"/>
        </w:rPr>
        <w:footnoteReference w:id="119"/>
      </w:r>
      <w:r w:rsidR="008445B6">
        <w:rPr>
          <w:rFonts w:cs="Times New Roman"/>
        </w:rPr>
        <w:t>.</w:t>
      </w:r>
    </w:p>
    <w:p w14:paraId="0E45AC7C" w14:textId="77777777" w:rsidR="00D23424" w:rsidRDefault="00A67A78" w:rsidP="0074459A">
      <w:pPr>
        <w:spacing w:before="100" w:beforeAutospacing="1" w:line="276" w:lineRule="auto"/>
        <w:ind w:firstLine="454"/>
        <w:rPr>
          <w:rFonts w:cs="Times New Roman"/>
        </w:rPr>
      </w:pPr>
      <w:r>
        <w:rPr>
          <w:rFonts w:cs="Times New Roman"/>
        </w:rPr>
        <w:t>La grandezza dei fatti, il nocumento per i risparmiatori ed il rilievo</w:t>
      </w:r>
      <w:r w:rsidR="009A319A">
        <w:rPr>
          <w:rFonts w:cs="Times New Roman"/>
        </w:rPr>
        <w:t xml:space="preserve"> </w:t>
      </w:r>
      <w:r>
        <w:rPr>
          <w:rFonts w:cs="Times New Roman"/>
        </w:rPr>
        <w:t>mediatico delle vicende era tale da mettere</w:t>
      </w:r>
      <w:r w:rsidR="009A319A">
        <w:rPr>
          <w:rFonts w:cs="Times New Roman"/>
        </w:rPr>
        <w:t xml:space="preserve"> a serio rischio la credibilità di tutto il sistema su cui si basa</w:t>
      </w:r>
      <w:r>
        <w:rPr>
          <w:rFonts w:cs="Times New Roman"/>
        </w:rPr>
        <w:t>va</w:t>
      </w:r>
      <w:r w:rsidR="009A319A">
        <w:rPr>
          <w:rFonts w:cs="Times New Roman"/>
        </w:rPr>
        <w:t xml:space="preserve"> l’economia italiana</w:t>
      </w:r>
      <w:r>
        <w:rPr>
          <w:rFonts w:cs="Times New Roman"/>
        </w:rPr>
        <w:t>.</w:t>
      </w:r>
      <w:r w:rsidR="008445B6">
        <w:rPr>
          <w:rFonts w:cs="Times New Roman"/>
        </w:rPr>
        <w:t xml:space="preserve"> </w:t>
      </w:r>
      <w:r w:rsidR="00D23424">
        <w:rPr>
          <w:rFonts w:cs="Times New Roman"/>
        </w:rPr>
        <w:t xml:space="preserve">Infatti </w:t>
      </w:r>
      <w:r w:rsidR="00B2517A">
        <w:rPr>
          <w:rFonts w:cs="Times New Roman"/>
        </w:rPr>
        <w:t xml:space="preserve">il pericolo che si presentò, al di là </w:t>
      </w:r>
      <w:r>
        <w:rPr>
          <w:rFonts w:cs="Times New Roman"/>
        </w:rPr>
        <w:t>dei singoli casi,</w:t>
      </w:r>
      <w:r w:rsidR="00B2517A">
        <w:rPr>
          <w:rFonts w:cs="Times New Roman"/>
        </w:rPr>
        <w:t xml:space="preserve"> era la possibilità che si verificasse una crisi di </w:t>
      </w:r>
      <w:r>
        <w:rPr>
          <w:rFonts w:cs="Times New Roman"/>
        </w:rPr>
        <w:t>fiducia n</w:t>
      </w:r>
      <w:r w:rsidR="00B2517A">
        <w:rPr>
          <w:rFonts w:cs="Times New Roman"/>
        </w:rPr>
        <w:t>elle società italiane</w:t>
      </w:r>
      <w:r>
        <w:rPr>
          <w:rFonts w:cs="Times New Roman"/>
        </w:rPr>
        <w:t>,</w:t>
      </w:r>
      <w:r w:rsidR="00B2517A">
        <w:rPr>
          <w:rFonts w:cs="Times New Roman"/>
        </w:rPr>
        <w:t xml:space="preserve"> con</w:t>
      </w:r>
      <w:r>
        <w:rPr>
          <w:rFonts w:cs="Times New Roman"/>
        </w:rPr>
        <w:t xml:space="preserve"> una</w:t>
      </w:r>
      <w:r w:rsidR="00B2517A">
        <w:rPr>
          <w:rFonts w:cs="Times New Roman"/>
        </w:rPr>
        <w:t xml:space="preserve"> conseguente fuga </w:t>
      </w:r>
      <w:r>
        <w:rPr>
          <w:rFonts w:cs="Times New Roman"/>
        </w:rPr>
        <w:t xml:space="preserve">all’estero </w:t>
      </w:r>
      <w:r w:rsidR="00B2517A">
        <w:rPr>
          <w:rFonts w:cs="Times New Roman"/>
        </w:rPr>
        <w:t xml:space="preserve">degli investitori. Serviva quindi un intervento del legislatore che </w:t>
      </w:r>
      <w:r>
        <w:rPr>
          <w:rFonts w:cs="Times New Roman"/>
        </w:rPr>
        <w:t>desse un segnale, anche di tipo simbolico,</w:t>
      </w:r>
      <w:r w:rsidR="00D75C24">
        <w:rPr>
          <w:rFonts w:cs="Times New Roman"/>
        </w:rPr>
        <w:t xml:space="preserve"> </w:t>
      </w:r>
      <w:r>
        <w:rPr>
          <w:rFonts w:cs="Times New Roman"/>
        </w:rPr>
        <w:t>e ripristinasse la credibilità d</w:t>
      </w:r>
      <w:r w:rsidR="00D75C24">
        <w:rPr>
          <w:rFonts w:cs="Times New Roman"/>
        </w:rPr>
        <w:t>elle aziende del nostro paese, pena un possibile crollo dell’intera economia italiana.</w:t>
      </w:r>
    </w:p>
    <w:p w14:paraId="21F6DB27" w14:textId="77777777" w:rsidR="00D75C24" w:rsidRPr="009A39C8" w:rsidRDefault="00A67A78" w:rsidP="0074459A">
      <w:pPr>
        <w:spacing w:before="100" w:beforeAutospacing="1" w:line="276" w:lineRule="auto"/>
        <w:ind w:firstLine="454"/>
        <w:rPr>
          <w:rStyle w:val="Enfasidelicata"/>
        </w:rPr>
      </w:pPr>
      <w:r>
        <w:rPr>
          <w:rFonts w:cs="Times New Roman"/>
        </w:rPr>
        <w:t xml:space="preserve">Fu così che la legge </w:t>
      </w:r>
      <w:r w:rsidR="00D75C24">
        <w:rPr>
          <w:rFonts w:cs="Times New Roman"/>
        </w:rPr>
        <w:t>62 del 2005</w:t>
      </w:r>
      <w:r>
        <w:rPr>
          <w:rFonts w:cs="Times New Roman"/>
        </w:rPr>
        <w:t xml:space="preserve"> </w:t>
      </w:r>
      <w:r w:rsidR="001F1B0E">
        <w:rPr>
          <w:rFonts w:cs="Times New Roman"/>
        </w:rPr>
        <w:t>(</w:t>
      </w:r>
      <w:r>
        <w:rPr>
          <w:rFonts w:cs="Times New Roman"/>
        </w:rPr>
        <w:t>prima</w:t>
      </w:r>
      <w:r w:rsidR="001F1B0E">
        <w:rPr>
          <w:rFonts w:cs="Times New Roman"/>
        </w:rPr>
        <w:t>)</w:t>
      </w:r>
      <w:r>
        <w:rPr>
          <w:rFonts w:cs="Times New Roman"/>
        </w:rPr>
        <w:t xml:space="preserve"> e la l. 262 del 2005 </w:t>
      </w:r>
      <w:r w:rsidR="001F1B0E">
        <w:rPr>
          <w:rFonts w:cs="Times New Roman"/>
        </w:rPr>
        <w:t>(</w:t>
      </w:r>
      <w:r>
        <w:rPr>
          <w:rFonts w:cs="Times New Roman"/>
        </w:rPr>
        <w:t>dopo</w:t>
      </w:r>
      <w:r w:rsidR="001F1B0E">
        <w:rPr>
          <w:rFonts w:cs="Times New Roman"/>
        </w:rPr>
        <w:t>)</w:t>
      </w:r>
      <w:r w:rsidR="00D75C24">
        <w:rPr>
          <w:rFonts w:cs="Times New Roman"/>
        </w:rPr>
        <w:t xml:space="preserve"> segn</w:t>
      </w:r>
      <w:r>
        <w:rPr>
          <w:rFonts w:cs="Times New Roman"/>
        </w:rPr>
        <w:t>arono</w:t>
      </w:r>
      <w:r w:rsidR="00D75C24">
        <w:rPr>
          <w:rFonts w:cs="Times New Roman"/>
        </w:rPr>
        <w:t xml:space="preserve"> un cambio di </w:t>
      </w:r>
      <w:r>
        <w:rPr>
          <w:rFonts w:cs="Times New Roman"/>
        </w:rPr>
        <w:t>rotta</w:t>
      </w:r>
      <w:r w:rsidR="00D75C24">
        <w:rPr>
          <w:rFonts w:cs="Times New Roman"/>
        </w:rPr>
        <w:t xml:space="preserve"> sul piano penale</w:t>
      </w:r>
      <w:r>
        <w:rPr>
          <w:rFonts w:cs="Times New Roman"/>
        </w:rPr>
        <w:t>,</w:t>
      </w:r>
      <w:r w:rsidR="00D75C24">
        <w:rPr>
          <w:rFonts w:cs="Times New Roman"/>
        </w:rPr>
        <w:t xml:space="preserve"> rispetto alla precedente riforma dei reati societari del 2002. Se infatti quest’ultima era ispirata ad un diritto penale minimo, che vedeva la misura afflittiva quale </w:t>
      </w:r>
      <w:r w:rsidR="00D75C24" w:rsidRPr="00D75C24">
        <w:rPr>
          <w:rFonts w:cs="Times New Roman"/>
          <w:i/>
        </w:rPr>
        <w:t>extrema ratio</w:t>
      </w:r>
      <w:r w:rsidR="00D75C24">
        <w:rPr>
          <w:rFonts w:cs="Times New Roman"/>
        </w:rPr>
        <w:t xml:space="preserve"> e di cui veniva contestata la concreta applicabilità nel contesto giudiziario italiano, la nuova normativa soffriva dell’oppo</w:t>
      </w:r>
      <w:r w:rsidR="00BA57B8">
        <w:rPr>
          <w:rFonts w:cs="Times New Roman"/>
        </w:rPr>
        <w:t>sto problema</w:t>
      </w:r>
      <w:r w:rsidR="00024B07">
        <w:rPr>
          <w:rFonts w:cs="Times New Roman"/>
        </w:rPr>
        <w:t xml:space="preserve"> dell’essere ispirata ad un diritto penale massimo</w:t>
      </w:r>
      <w:r w:rsidR="00BA57B8">
        <w:rPr>
          <w:rFonts w:cs="Times New Roman"/>
        </w:rPr>
        <w:t xml:space="preserve">, </w:t>
      </w:r>
      <w:r w:rsidR="00024B07">
        <w:rPr>
          <w:rFonts w:cs="Times New Roman"/>
        </w:rPr>
        <w:t>finalizzato a</w:t>
      </w:r>
      <w:r w:rsidR="00BA57B8">
        <w:rPr>
          <w:rFonts w:cs="Times New Roman"/>
        </w:rPr>
        <w:t xml:space="preserve"> mandare </w:t>
      </w:r>
      <w:r w:rsidR="00024B07">
        <w:rPr>
          <w:rFonts w:cs="Times New Roman"/>
        </w:rPr>
        <w:t>agli investitori il segnale</w:t>
      </w:r>
      <w:r w:rsidR="00BA57B8">
        <w:rPr>
          <w:rFonts w:cs="Times New Roman"/>
        </w:rPr>
        <w:t xml:space="preserve"> che i loro risparmi trovavano ancora un rifugio sicuro nel mercato italiano</w:t>
      </w:r>
      <w:r w:rsidR="0068348D">
        <w:rPr>
          <w:rStyle w:val="Rimandonotaapidipagina"/>
          <w:rFonts w:cs="Times New Roman"/>
        </w:rPr>
        <w:footnoteReference w:id="120"/>
      </w:r>
      <w:r w:rsidR="00BA57B8">
        <w:rPr>
          <w:rFonts w:cs="Times New Roman"/>
        </w:rPr>
        <w:t>.</w:t>
      </w:r>
    </w:p>
    <w:p w14:paraId="1642334C" w14:textId="65AAB574" w:rsidR="00C060D7" w:rsidRDefault="00BA57B8" w:rsidP="0074459A">
      <w:pPr>
        <w:spacing w:before="100" w:beforeAutospacing="1" w:line="276" w:lineRule="auto"/>
        <w:ind w:firstLine="454"/>
        <w:rPr>
          <w:rFonts w:cs="Times New Roman"/>
        </w:rPr>
      </w:pPr>
      <w:r>
        <w:rPr>
          <w:rFonts w:cs="Times New Roman"/>
        </w:rPr>
        <w:t>La tendenza dell’intervento legislativo</w:t>
      </w:r>
      <w:r w:rsidR="0068348D">
        <w:rPr>
          <w:rFonts w:cs="Times New Roman"/>
        </w:rPr>
        <w:t xml:space="preserve"> operato dalla l. 262 del 2005, </w:t>
      </w:r>
      <w:r w:rsidR="0068348D" w:rsidRPr="0068348D">
        <w:t xml:space="preserve">detta </w:t>
      </w:r>
      <w:r w:rsidR="00787258">
        <w:rPr>
          <w:i/>
        </w:rPr>
        <w:t>«</w:t>
      </w:r>
      <w:r w:rsidR="0068348D" w:rsidRPr="0068348D">
        <w:rPr>
          <w:i/>
        </w:rPr>
        <w:t>Disposizioni per la tutela del risparmio e la disciplina dei mercati finanziari</w:t>
      </w:r>
      <w:r w:rsidR="00787258">
        <w:rPr>
          <w:i/>
        </w:rPr>
        <w:t>»</w:t>
      </w:r>
      <w:r w:rsidR="0068348D" w:rsidRPr="0068348D">
        <w:t>,</w:t>
      </w:r>
      <w:r w:rsidR="00B14DD0">
        <w:rPr>
          <w:rFonts w:cs="Times New Roman"/>
        </w:rPr>
        <w:t xml:space="preserve"> fu di corr</w:t>
      </w:r>
      <w:r w:rsidR="0068348D">
        <w:rPr>
          <w:rFonts w:cs="Times New Roman"/>
        </w:rPr>
        <w:t>eggere la formulazione di alcuni reati a tutela dell’ordine economico</w:t>
      </w:r>
      <w:r w:rsidR="00B14DD0">
        <w:rPr>
          <w:rFonts w:cs="Times New Roman"/>
        </w:rPr>
        <w:t xml:space="preserve">, mentre per </w:t>
      </w:r>
      <w:r>
        <w:rPr>
          <w:rFonts w:cs="Times New Roman"/>
        </w:rPr>
        <w:t xml:space="preserve">i reati finanziari strettamente intesi </w:t>
      </w:r>
      <w:r w:rsidR="00B14DD0">
        <w:rPr>
          <w:rFonts w:cs="Times New Roman"/>
        </w:rPr>
        <w:t>vennero</w:t>
      </w:r>
      <w:r>
        <w:rPr>
          <w:rFonts w:cs="Times New Roman"/>
        </w:rPr>
        <w:t xml:space="preserve"> </w:t>
      </w:r>
      <w:r w:rsidR="00B14DD0">
        <w:rPr>
          <w:rFonts w:cs="Times New Roman"/>
        </w:rPr>
        <w:t>introdotte pene</w:t>
      </w:r>
      <w:r w:rsidR="00C060D7">
        <w:rPr>
          <w:rFonts w:cs="Times New Roman"/>
        </w:rPr>
        <w:t xml:space="preserve"> ancora più severe</w:t>
      </w:r>
      <w:r w:rsidR="00B14DD0">
        <w:rPr>
          <w:rFonts w:cs="Times New Roman"/>
        </w:rPr>
        <w:t>, ferme rimanendo le fattispecie così come formulate dalla</w:t>
      </w:r>
      <w:r w:rsidR="00C060D7">
        <w:rPr>
          <w:rFonts w:cs="Times New Roman"/>
        </w:rPr>
        <w:t xml:space="preserve"> legge comunitaria per il 2004.</w:t>
      </w:r>
    </w:p>
    <w:p w14:paraId="04B6B312" w14:textId="77777777" w:rsidR="009C39F6" w:rsidRDefault="008445B6" w:rsidP="0074459A">
      <w:pPr>
        <w:spacing w:before="100" w:beforeAutospacing="1" w:line="276" w:lineRule="auto"/>
        <w:ind w:firstLine="454"/>
        <w:rPr>
          <w:rFonts w:cs="Times New Roman"/>
        </w:rPr>
      </w:pPr>
      <w:r>
        <w:rPr>
          <w:rFonts w:cs="Times New Roman"/>
        </w:rPr>
        <w:t xml:space="preserve">Così, per quanto </w:t>
      </w:r>
      <w:r w:rsidR="001F1B0E">
        <w:rPr>
          <w:rFonts w:cs="Times New Roman"/>
        </w:rPr>
        <w:t>qui</w:t>
      </w:r>
      <w:r>
        <w:rPr>
          <w:rFonts w:cs="Times New Roman"/>
        </w:rPr>
        <w:t xml:space="preserve"> interessa</w:t>
      </w:r>
      <w:r w:rsidR="001F1B0E">
        <w:rPr>
          <w:rFonts w:cs="Times New Roman"/>
        </w:rPr>
        <w:t>,</w:t>
      </w:r>
      <w:r>
        <w:rPr>
          <w:rFonts w:cs="Times New Roman"/>
        </w:rPr>
        <w:t xml:space="preserve"> </w:t>
      </w:r>
      <w:r w:rsidR="0094254C">
        <w:rPr>
          <w:rFonts w:cs="Times New Roman"/>
        </w:rPr>
        <w:t xml:space="preserve">la </w:t>
      </w:r>
      <w:r w:rsidR="00423673">
        <w:rPr>
          <w:rFonts w:cs="Times New Roman"/>
        </w:rPr>
        <w:t>pena prevista per il delitto di manipolazione del mercato finanziario</w:t>
      </w:r>
      <w:r w:rsidR="00C060D7">
        <w:rPr>
          <w:rFonts w:cs="Times New Roman"/>
        </w:rPr>
        <w:t xml:space="preserve"> </w:t>
      </w:r>
      <w:r w:rsidR="00423673">
        <w:rPr>
          <w:rFonts w:cs="Times New Roman"/>
        </w:rPr>
        <w:t>venne raddoppiata</w:t>
      </w:r>
      <w:r w:rsidR="001F1B0E">
        <w:rPr>
          <w:rFonts w:cs="Times New Roman"/>
        </w:rPr>
        <w:t xml:space="preserve">, con un massimo di pena che arrivò ai </w:t>
      </w:r>
      <w:r w:rsidR="003E3760">
        <w:rPr>
          <w:rFonts w:cs="Times New Roman"/>
        </w:rPr>
        <w:t>dodici</w:t>
      </w:r>
      <w:r w:rsidR="009C39F6">
        <w:rPr>
          <w:rFonts w:cs="Times New Roman"/>
        </w:rPr>
        <w:t xml:space="preserve"> </w:t>
      </w:r>
      <w:r w:rsidR="001F1B0E">
        <w:rPr>
          <w:rFonts w:cs="Times New Roman"/>
        </w:rPr>
        <w:t>anni di reclusione e a</w:t>
      </w:r>
      <w:r w:rsidR="009C39F6">
        <w:rPr>
          <w:rFonts w:cs="Times New Roman"/>
        </w:rPr>
        <w:t>i sei milioni di euro</w:t>
      </w:r>
      <w:r w:rsidR="001F1B0E">
        <w:rPr>
          <w:rFonts w:cs="Times New Roman"/>
        </w:rPr>
        <w:t xml:space="preserve"> di multa</w:t>
      </w:r>
      <w:r w:rsidR="009C39F6">
        <w:rPr>
          <w:rFonts w:cs="Times New Roman"/>
        </w:rPr>
        <w:t>. La sanzione</w:t>
      </w:r>
      <w:r w:rsidR="00125EDD">
        <w:rPr>
          <w:rFonts w:cs="Times New Roman"/>
        </w:rPr>
        <w:t xml:space="preserve"> amministrativa</w:t>
      </w:r>
      <w:r w:rsidR="009C39F6">
        <w:rPr>
          <w:rFonts w:cs="Times New Roman"/>
        </w:rPr>
        <w:t xml:space="preserve"> pecuniaria</w:t>
      </w:r>
      <w:r w:rsidR="003E3760">
        <w:rPr>
          <w:rFonts w:cs="Times New Roman"/>
        </w:rPr>
        <w:t xml:space="preserve"> di cui all’art. 187 </w:t>
      </w:r>
      <w:r w:rsidR="003E3760" w:rsidRPr="001F1B0E">
        <w:rPr>
          <w:rFonts w:cs="Times New Roman"/>
          <w:i/>
        </w:rPr>
        <w:t>ter</w:t>
      </w:r>
      <w:r w:rsidR="009C39F6">
        <w:rPr>
          <w:rFonts w:cs="Times New Roman"/>
        </w:rPr>
        <w:t xml:space="preserve"> </w:t>
      </w:r>
      <w:r w:rsidR="00C060D7">
        <w:rPr>
          <w:rFonts w:cs="Times New Roman"/>
        </w:rPr>
        <w:t>fu addirittura quintuplicata</w:t>
      </w:r>
      <w:r w:rsidR="003E3760">
        <w:rPr>
          <w:rFonts w:cs="Times New Roman"/>
        </w:rPr>
        <w:t xml:space="preserve">, </w:t>
      </w:r>
      <w:r w:rsidR="001F1B0E">
        <w:rPr>
          <w:rFonts w:cs="Times New Roman"/>
        </w:rPr>
        <w:t xml:space="preserve">con un massimo edittale che toccò </w:t>
      </w:r>
      <w:r w:rsidR="009C39F6">
        <w:rPr>
          <w:rFonts w:cs="Times New Roman"/>
        </w:rPr>
        <w:t>i quindici milioni</w:t>
      </w:r>
      <w:r w:rsidR="001F1B0E">
        <w:rPr>
          <w:rFonts w:cs="Times New Roman"/>
        </w:rPr>
        <w:t xml:space="preserve"> di euro</w:t>
      </w:r>
      <w:r w:rsidR="00423673">
        <w:rPr>
          <w:rFonts w:cs="Times New Roman"/>
        </w:rPr>
        <w:t>.</w:t>
      </w:r>
    </w:p>
    <w:p w14:paraId="70005F73" w14:textId="77777777" w:rsidR="00DE49AA" w:rsidRDefault="00423673" w:rsidP="0074459A">
      <w:pPr>
        <w:spacing w:before="100" w:beforeAutospacing="1" w:line="276" w:lineRule="auto"/>
        <w:ind w:firstLine="454"/>
        <w:rPr>
          <w:rFonts w:cs="Times New Roman"/>
        </w:rPr>
      </w:pPr>
      <w:r>
        <w:rPr>
          <w:rFonts w:cs="Times New Roman"/>
        </w:rPr>
        <w:t>Senonché molte critiche arrivarono a</w:t>
      </w:r>
      <w:r w:rsidR="00374042">
        <w:rPr>
          <w:rFonts w:cs="Times New Roman"/>
        </w:rPr>
        <w:t>nche a</w:t>
      </w:r>
      <w:r>
        <w:rPr>
          <w:rFonts w:cs="Times New Roman"/>
        </w:rPr>
        <w:t xml:space="preserve"> tale riforma, accusata, con argomentazioni opposte a quelle usate nel 2002, di attuare un diritto penale di tipo simbolico</w:t>
      </w:r>
      <w:r w:rsidR="00125EDD">
        <w:rPr>
          <w:rFonts w:cs="Times New Roman"/>
        </w:rPr>
        <w:t xml:space="preserve"> e di comminare pene eccessive, rapportate alle altre previste nel diritto penale, rispetto al disvalore del fatto</w:t>
      </w:r>
      <w:r w:rsidR="00B765F1">
        <w:rPr>
          <w:rFonts w:cs="Times New Roman"/>
        </w:rPr>
        <w:t>.</w:t>
      </w:r>
    </w:p>
    <w:p w14:paraId="595ABB88" w14:textId="382EAD09" w:rsidR="008C3947" w:rsidRDefault="008C3947" w:rsidP="0074459A">
      <w:pPr>
        <w:pStyle w:val="Titolo2"/>
        <w:numPr>
          <w:ilvl w:val="0"/>
          <w:numId w:val="22"/>
        </w:numPr>
        <w:spacing w:after="100" w:afterAutospacing="1" w:line="276" w:lineRule="auto"/>
      </w:pPr>
      <w:bookmarkStart w:id="21" w:name="_Toc272493058"/>
      <w:r>
        <w:t xml:space="preserve">L’estensione </w:t>
      </w:r>
      <w:r w:rsidR="002E005C">
        <w:t xml:space="preserve">nel 2009 </w:t>
      </w:r>
      <w:r>
        <w:t>della disciplina ai mercati non regolamentati</w:t>
      </w:r>
      <w:bookmarkEnd w:id="21"/>
    </w:p>
    <w:p w14:paraId="08D93AE2" w14:textId="05108A88" w:rsidR="00B778E2" w:rsidRPr="008C3947" w:rsidRDefault="00B778E2" w:rsidP="0074459A">
      <w:pPr>
        <w:autoSpaceDE w:val="0"/>
        <w:autoSpaceDN w:val="0"/>
        <w:adjustRightInd w:val="0"/>
        <w:spacing w:after="100" w:afterAutospacing="1" w:line="276" w:lineRule="auto"/>
        <w:ind w:firstLine="454"/>
        <w:rPr>
          <w:rFonts w:cs="Times New Roman"/>
        </w:rPr>
      </w:pPr>
      <w:r w:rsidRPr="008C3947">
        <w:rPr>
          <w:rFonts w:cs="Times New Roman"/>
        </w:rPr>
        <w:t>Con riferimento all’ambito di applicazione della disciplina, si deve segnalare che</w:t>
      </w:r>
      <w:r w:rsidR="002E005C">
        <w:rPr>
          <w:rFonts w:cs="Times New Roman"/>
        </w:rPr>
        <w:t>, con</w:t>
      </w:r>
      <w:r w:rsidRPr="008C3947">
        <w:rPr>
          <w:rFonts w:cs="Times New Roman"/>
        </w:rPr>
        <w:t xml:space="preserve"> il </w:t>
      </w:r>
      <w:r>
        <w:rPr>
          <w:rFonts w:cs="Times New Roman"/>
        </w:rPr>
        <w:t>d.</w:t>
      </w:r>
      <w:r w:rsidRPr="00606DD7">
        <w:rPr>
          <w:rFonts w:cs="Times New Roman"/>
        </w:rPr>
        <w:t>lg</w:t>
      </w:r>
      <w:r>
        <w:rPr>
          <w:rFonts w:cs="Times New Roman"/>
        </w:rPr>
        <w:t>s. n. 101 del 17 luglio 2009</w:t>
      </w:r>
      <w:r w:rsidR="002E005C">
        <w:rPr>
          <w:rFonts w:cs="Times New Roman"/>
        </w:rPr>
        <w:t>,</w:t>
      </w:r>
      <w:r>
        <w:rPr>
          <w:rFonts w:cs="Times New Roman"/>
        </w:rPr>
        <w:t xml:space="preserve"> </w:t>
      </w:r>
      <w:r w:rsidR="002E005C">
        <w:rPr>
          <w:rFonts w:cs="Times New Roman"/>
        </w:rPr>
        <w:t>è stato</w:t>
      </w:r>
      <w:r>
        <w:rPr>
          <w:rFonts w:cs="Times New Roman"/>
        </w:rPr>
        <w:t xml:space="preserve"> inserito all’art. 182 del T</w:t>
      </w:r>
      <w:r w:rsidR="00EC116B">
        <w:rPr>
          <w:rFonts w:cs="Times New Roman"/>
        </w:rPr>
        <w:t>.</w:t>
      </w:r>
      <w:r>
        <w:rPr>
          <w:rFonts w:cs="Times New Roman"/>
        </w:rPr>
        <w:t>U</w:t>
      </w:r>
      <w:r w:rsidR="00EC116B">
        <w:rPr>
          <w:rFonts w:cs="Times New Roman"/>
        </w:rPr>
        <w:t>.</w:t>
      </w:r>
      <w:r>
        <w:rPr>
          <w:rFonts w:cs="Times New Roman"/>
        </w:rPr>
        <w:t>F</w:t>
      </w:r>
      <w:r w:rsidR="00EC116B">
        <w:rPr>
          <w:rFonts w:cs="Times New Roman"/>
        </w:rPr>
        <w:t>.</w:t>
      </w:r>
      <w:r>
        <w:rPr>
          <w:rFonts w:cs="Times New Roman"/>
        </w:rPr>
        <w:t xml:space="preserve"> il comma due </w:t>
      </w:r>
      <w:r w:rsidRPr="002E005C">
        <w:rPr>
          <w:rFonts w:cs="Times New Roman"/>
          <w:i/>
        </w:rPr>
        <w:t>bis</w:t>
      </w:r>
      <w:r w:rsidR="008C3947">
        <w:rPr>
          <w:rStyle w:val="Rimandonotaapidipagina"/>
          <w:rFonts w:cs="Times New Roman"/>
        </w:rPr>
        <w:footnoteReference w:id="121"/>
      </w:r>
      <w:r>
        <w:rPr>
          <w:rFonts w:cs="Times New Roman"/>
        </w:rPr>
        <w:t xml:space="preserve">, che </w:t>
      </w:r>
      <w:r w:rsidR="008C3947">
        <w:rPr>
          <w:rFonts w:cs="Times New Roman"/>
        </w:rPr>
        <w:t xml:space="preserve">punisce con </w:t>
      </w:r>
      <w:r w:rsidR="002E005C">
        <w:rPr>
          <w:rFonts w:cs="Times New Roman"/>
        </w:rPr>
        <w:t xml:space="preserve">la sanzione </w:t>
      </w:r>
      <w:r w:rsidR="008C3947" w:rsidRPr="008C3947">
        <w:rPr>
          <w:rFonts w:cs="Times New Roman"/>
        </w:rPr>
        <w:t xml:space="preserve">de </w:t>
      </w:r>
      <w:r w:rsidR="00787258">
        <w:rPr>
          <w:rFonts w:cs="Times New Roman"/>
          <w:i/>
        </w:rPr>
        <w:t>«</w:t>
      </w:r>
      <w:r w:rsidR="008C3947" w:rsidRPr="008C3947">
        <w:rPr>
          <w:rFonts w:cs="Times New Roman"/>
          <w:i/>
        </w:rPr>
        <w:t>l'ammenda fino a euro centotremila e duecentonovantuno e dell'arresto fino a tre anni</w:t>
      </w:r>
      <w:r w:rsidR="00787258">
        <w:rPr>
          <w:rFonts w:cs="Times New Roman"/>
          <w:i/>
        </w:rPr>
        <w:t>»</w:t>
      </w:r>
      <w:r w:rsidR="008C3947" w:rsidRPr="008C3947">
        <w:rPr>
          <w:rFonts w:cs="Times New Roman"/>
        </w:rPr>
        <w:t xml:space="preserve"> le manipolazioni commesse su titoli negoziati o di cui sia stata chiesta la negoziazione su un sistema multilaterale di negoziazione italiano, anche detti mercati non regolamentati</w:t>
      </w:r>
      <w:r w:rsidR="00AA2244">
        <w:rPr>
          <w:rFonts w:cs="Times New Roman"/>
        </w:rPr>
        <w:t>.</w:t>
      </w:r>
    </w:p>
    <w:p w14:paraId="10B4A7DA" w14:textId="7EA63923" w:rsidR="00DE49AA" w:rsidRDefault="00201522" w:rsidP="0074459A">
      <w:pPr>
        <w:pStyle w:val="Titolo2"/>
        <w:spacing w:after="100" w:afterAutospacing="1" w:line="276" w:lineRule="auto"/>
      </w:pPr>
      <w:bookmarkStart w:id="22" w:name="_Toc272493059"/>
      <w:r>
        <w:t>13</w:t>
      </w:r>
      <w:r>
        <w:tab/>
      </w:r>
      <w:r w:rsidR="00A02EC4">
        <w:t>Le</w:t>
      </w:r>
      <w:r w:rsidR="00E031A1">
        <w:t xml:space="preserve"> novità introdotte </w:t>
      </w:r>
      <w:r w:rsidR="00E031A1">
        <w:rPr>
          <w:color w:val="323232"/>
        </w:rPr>
        <w:t xml:space="preserve">dalla </w:t>
      </w:r>
      <w:r w:rsidR="00D343B3">
        <w:t>Direttiva</w:t>
      </w:r>
      <w:r w:rsidR="00487787" w:rsidRPr="002F10A2">
        <w:t xml:space="preserve"> 2014/57/UE</w:t>
      </w:r>
      <w:r w:rsidR="00166FE5">
        <w:t xml:space="preserve"> e dal </w:t>
      </w:r>
      <w:r w:rsidR="00166FE5" w:rsidRPr="00B13E60">
        <w:rPr>
          <w:color w:val="323232"/>
        </w:rPr>
        <w:t>Regolamento UE 596/2014</w:t>
      </w:r>
      <w:r w:rsidR="00487787" w:rsidRPr="002F10A2">
        <w:t xml:space="preserve"> in tema di manipolazione di mercato.</w:t>
      </w:r>
      <w:bookmarkEnd w:id="22"/>
    </w:p>
    <w:p w14:paraId="7D980F10" w14:textId="77777777" w:rsidR="00C72EA2" w:rsidRPr="006B502C" w:rsidRDefault="00EC116B" w:rsidP="0074459A">
      <w:pPr>
        <w:autoSpaceDE w:val="0"/>
        <w:autoSpaceDN w:val="0"/>
        <w:adjustRightInd w:val="0"/>
        <w:spacing w:before="100" w:beforeAutospacing="1" w:after="100" w:afterAutospacing="1" w:line="276" w:lineRule="auto"/>
        <w:ind w:firstLine="454"/>
        <w:rPr>
          <w:rFonts w:cs="Times New Roman"/>
        </w:rPr>
      </w:pPr>
      <w:r w:rsidRPr="00D343B3">
        <w:rPr>
          <w:rFonts w:cs="Times New Roman"/>
          <w:color w:val="3A3A3A"/>
        </w:rPr>
        <w:t>Da ultimo, si deve dar conto della recentissima normativa introdotta dalla UE</w:t>
      </w:r>
      <w:r w:rsidR="00166FE5">
        <w:rPr>
          <w:rFonts w:cs="Times New Roman"/>
          <w:color w:val="3A3A3A"/>
        </w:rPr>
        <w:t xml:space="preserve"> in materia di abusi di mercato</w:t>
      </w:r>
      <w:r w:rsidR="003632C9" w:rsidRPr="002A75A1">
        <w:rPr>
          <w:rFonts w:cs="Times New Roman"/>
          <w:color w:val="3A3A3A"/>
        </w:rPr>
        <w:t>.</w:t>
      </w:r>
      <w:r w:rsidR="00C72EA2">
        <w:rPr>
          <w:rFonts w:cs="Times New Roman"/>
          <w:color w:val="3A3A3A"/>
        </w:rPr>
        <w:t xml:space="preserve"> </w:t>
      </w:r>
      <w:r w:rsidR="00166FE5">
        <w:rPr>
          <w:rFonts w:cs="Times New Roman"/>
          <w:color w:val="3A3A3A"/>
        </w:rPr>
        <w:t>I</w:t>
      </w:r>
      <w:r w:rsidR="00C72EA2">
        <w:rPr>
          <w:rFonts w:cs="Times New Roman"/>
          <w:color w:val="3A3A3A"/>
        </w:rPr>
        <w:t>l legislatore comunitario</w:t>
      </w:r>
      <w:r w:rsidR="00166FE5">
        <w:rPr>
          <w:rFonts w:cs="Times New Roman"/>
          <w:color w:val="3A3A3A"/>
        </w:rPr>
        <w:t xml:space="preserve"> ha sostituito la precedente </w:t>
      </w:r>
      <w:r w:rsidR="00166FE5" w:rsidRPr="002A75A1">
        <w:rPr>
          <w:rFonts w:cs="Times New Roman"/>
          <w:color w:val="3A3A3A"/>
        </w:rPr>
        <w:t>Direttiva 2003/6/CE</w:t>
      </w:r>
      <w:r w:rsidR="00C72EA2">
        <w:rPr>
          <w:rFonts w:cs="Times New Roman"/>
          <w:color w:val="3A3A3A"/>
        </w:rPr>
        <w:t xml:space="preserve"> con la </w:t>
      </w:r>
      <w:r w:rsidR="00C72EA2" w:rsidRPr="002A75A1">
        <w:rPr>
          <w:rFonts w:cs="Times New Roman"/>
          <w:color w:val="3A3A3A"/>
        </w:rPr>
        <w:t>Direttiva 2014/57/UE</w:t>
      </w:r>
      <w:r w:rsidR="00C72EA2">
        <w:rPr>
          <w:rFonts w:cs="Times New Roman"/>
          <w:color w:val="3A3A3A"/>
        </w:rPr>
        <w:t xml:space="preserve">, che prevede sanzioni penali in caso di abusi di mercato, e </w:t>
      </w:r>
      <w:r w:rsidR="00166FE5">
        <w:rPr>
          <w:rFonts w:cs="Times New Roman"/>
          <w:color w:val="3A3A3A"/>
        </w:rPr>
        <w:t xml:space="preserve">con </w:t>
      </w:r>
      <w:r w:rsidR="00C72EA2">
        <w:rPr>
          <w:rFonts w:cs="Times New Roman"/>
          <w:color w:val="3A3A3A"/>
        </w:rPr>
        <w:t xml:space="preserve">il </w:t>
      </w:r>
      <w:r w:rsidR="00C72EA2" w:rsidRPr="002A75A1">
        <w:rPr>
          <w:rFonts w:cs="Times New Roman"/>
          <w:color w:val="323232"/>
        </w:rPr>
        <w:t>Regolamento UE 596/2014</w:t>
      </w:r>
      <w:r w:rsidR="00C72EA2">
        <w:rPr>
          <w:rFonts w:cs="Times New Roman"/>
          <w:color w:val="323232"/>
        </w:rPr>
        <w:t xml:space="preserve">, </w:t>
      </w:r>
      <w:r w:rsidR="00166FE5">
        <w:rPr>
          <w:rFonts w:cs="Times New Roman"/>
          <w:color w:val="323232"/>
        </w:rPr>
        <w:t>il quale definisce i corrispondenti illeciti amministrativi.</w:t>
      </w:r>
      <w:r w:rsidR="006B502C">
        <w:rPr>
          <w:rFonts w:cs="Times New Roman"/>
          <w:color w:val="323232"/>
        </w:rPr>
        <w:t xml:space="preserve"> Entrambe le nuove disposizioni normative produrranno i loro effetti a far data dal 3 luglio 2016.</w:t>
      </w:r>
    </w:p>
    <w:p w14:paraId="4D86D3D8" w14:textId="3C0C9380" w:rsidR="00B13E60" w:rsidRDefault="003632C9" w:rsidP="0074459A">
      <w:pPr>
        <w:pStyle w:val="Default"/>
        <w:widowControl/>
        <w:spacing w:after="100" w:afterAutospacing="1" w:line="276" w:lineRule="auto"/>
        <w:ind w:firstLine="454"/>
        <w:jc w:val="both"/>
        <w:rPr>
          <w:rFonts w:ascii="Times New Roman" w:hAnsi="Times New Roman" w:cs="Times New Roman"/>
        </w:rPr>
      </w:pPr>
      <w:r w:rsidRPr="002A75A1">
        <w:rPr>
          <w:rFonts w:ascii="Times New Roman" w:hAnsi="Times New Roman" w:cs="Times New Roman"/>
          <w:color w:val="3A3A3A"/>
        </w:rPr>
        <w:t xml:space="preserve">In particolare il secondo considerando della </w:t>
      </w:r>
      <w:r w:rsidR="00D343B3" w:rsidRPr="002A75A1">
        <w:rPr>
          <w:rFonts w:ascii="Times New Roman" w:hAnsi="Times New Roman" w:cs="Times New Roman"/>
          <w:color w:val="3A3A3A"/>
        </w:rPr>
        <w:t>Direttiva</w:t>
      </w:r>
      <w:r w:rsidRPr="002A75A1">
        <w:rPr>
          <w:rFonts w:ascii="Times New Roman" w:hAnsi="Times New Roman" w:cs="Times New Roman"/>
          <w:color w:val="3A3A3A"/>
        </w:rPr>
        <w:t xml:space="preserve"> 2014/57/UE, preso atto che la precedente </w:t>
      </w:r>
      <w:r w:rsidR="00D343B3" w:rsidRPr="002A75A1">
        <w:rPr>
          <w:rFonts w:ascii="Times New Roman" w:hAnsi="Times New Roman" w:cs="Times New Roman"/>
          <w:color w:val="3A3A3A"/>
        </w:rPr>
        <w:t>Direttiva</w:t>
      </w:r>
      <w:r w:rsidRPr="002A75A1">
        <w:rPr>
          <w:rFonts w:ascii="Times New Roman" w:hAnsi="Times New Roman" w:cs="Times New Roman"/>
          <w:color w:val="3A3A3A"/>
        </w:rPr>
        <w:t xml:space="preserve"> ha </w:t>
      </w:r>
      <w:r w:rsidR="00787258">
        <w:rPr>
          <w:rFonts w:ascii="Times New Roman" w:hAnsi="Times New Roman" w:cs="Times New Roman"/>
          <w:i/>
        </w:rPr>
        <w:t>«</w:t>
      </w:r>
      <w:r w:rsidRPr="002A75A1">
        <w:rPr>
          <w:rFonts w:ascii="Times New Roman" w:hAnsi="Times New Roman" w:cs="Times New Roman"/>
          <w:i/>
        </w:rPr>
        <w:t>completato e aggiornato il quadro giuridico dell’Unione a tutela dell’integrità del mercato</w:t>
      </w:r>
      <w:r w:rsidR="00787258">
        <w:rPr>
          <w:rFonts w:ascii="Times New Roman" w:hAnsi="Times New Roman" w:cs="Times New Roman"/>
          <w:i/>
        </w:rPr>
        <w:t>»</w:t>
      </w:r>
      <w:r w:rsidRPr="002A75A1">
        <w:rPr>
          <w:rFonts w:ascii="Times New Roman" w:hAnsi="Times New Roman" w:cs="Times New Roman"/>
        </w:rPr>
        <w:t>, mette in evidenza come</w:t>
      </w:r>
      <w:r w:rsidR="00D343B3" w:rsidRPr="002A75A1">
        <w:rPr>
          <w:rFonts w:ascii="Times New Roman" w:hAnsi="Times New Roman" w:cs="Times New Roman"/>
        </w:rPr>
        <w:t xml:space="preserve"> alcuni paesi prevedano tutele insufficienti e che</w:t>
      </w:r>
      <w:r w:rsidRPr="002A75A1">
        <w:rPr>
          <w:rFonts w:ascii="Times New Roman" w:hAnsi="Times New Roman" w:cs="Times New Roman"/>
        </w:rPr>
        <w:t xml:space="preserve"> le differenze di tutela all’interno dell’Unione </w:t>
      </w:r>
      <w:r w:rsidR="00D343B3" w:rsidRPr="002A75A1">
        <w:rPr>
          <w:rFonts w:ascii="Times New Roman" w:hAnsi="Times New Roman" w:cs="Times New Roman"/>
        </w:rPr>
        <w:t>rappresentino un incentivo a commettere abusi d</w:t>
      </w:r>
      <w:r w:rsidR="00446861" w:rsidRPr="002A75A1">
        <w:rPr>
          <w:rFonts w:ascii="Times New Roman" w:hAnsi="Times New Roman" w:cs="Times New Roman"/>
        </w:rPr>
        <w:t>i mercato in determinati paesi.</w:t>
      </w:r>
      <w:r w:rsidR="0063428E" w:rsidRPr="002A75A1">
        <w:rPr>
          <w:rFonts w:ascii="Times New Roman" w:hAnsi="Times New Roman" w:cs="Times New Roman"/>
        </w:rPr>
        <w:t xml:space="preserve"> </w:t>
      </w:r>
      <w:r w:rsidR="002A75A1" w:rsidRPr="002A75A1">
        <w:rPr>
          <w:rFonts w:ascii="Times New Roman" w:hAnsi="Times New Roman" w:cs="Times New Roman"/>
        </w:rPr>
        <w:t xml:space="preserve">Pertanto la Direttiva, all’ottavo considerando, ritiene </w:t>
      </w:r>
      <w:r w:rsidR="00787258">
        <w:rPr>
          <w:rFonts w:ascii="Times New Roman" w:hAnsi="Times New Roman" w:cs="Times New Roman"/>
          <w:i/>
        </w:rPr>
        <w:t>«</w:t>
      </w:r>
      <w:r w:rsidR="002A75A1" w:rsidRPr="002A75A1">
        <w:rPr>
          <w:rFonts w:ascii="Times New Roman" w:hAnsi="Times New Roman" w:cs="Times New Roman"/>
          <w:i/>
        </w:rPr>
        <w:t>essenziale per garantire l’attuazione efficace della politica dell’Unione in materia</w:t>
      </w:r>
      <w:r w:rsidR="00787258">
        <w:rPr>
          <w:rFonts w:ascii="Times New Roman" w:hAnsi="Times New Roman" w:cs="Times New Roman"/>
          <w:i/>
        </w:rPr>
        <w:t>»</w:t>
      </w:r>
      <w:r w:rsidR="002A75A1" w:rsidRPr="002A75A1">
        <w:rPr>
          <w:rFonts w:ascii="Times New Roman" w:hAnsi="Times New Roman" w:cs="Times New Roman"/>
        </w:rPr>
        <w:t>, a norma del secondo dell’art. 83 del TFUE</w:t>
      </w:r>
      <w:r w:rsidR="002A75A1" w:rsidRPr="002A75A1">
        <w:rPr>
          <w:rFonts w:ascii="Times New Roman" w:hAnsi="Times New Roman" w:cs="Times New Roman"/>
          <w:sz w:val="20"/>
          <w:szCs w:val="20"/>
          <w:vertAlign w:val="superscript"/>
        </w:rPr>
        <w:footnoteReference w:id="122"/>
      </w:r>
      <w:r w:rsidR="002A75A1" w:rsidRPr="002A75A1">
        <w:rPr>
          <w:rFonts w:ascii="Times New Roman" w:hAnsi="Times New Roman" w:cs="Times New Roman"/>
        </w:rPr>
        <w:t xml:space="preserve">, introdurre negli Stati membri </w:t>
      </w:r>
      <w:r w:rsidR="00787258">
        <w:rPr>
          <w:rFonts w:ascii="Times New Roman" w:hAnsi="Times New Roman" w:cs="Times New Roman"/>
          <w:i/>
        </w:rPr>
        <w:t>«</w:t>
      </w:r>
      <w:r w:rsidR="002A75A1" w:rsidRPr="002A75A1">
        <w:rPr>
          <w:rFonts w:ascii="Times New Roman" w:hAnsi="Times New Roman" w:cs="Times New Roman"/>
          <w:i/>
        </w:rPr>
        <w:t>sanzioni penali almeno per i reati gravi di abusi di mercato</w:t>
      </w:r>
      <w:r w:rsidR="00787258">
        <w:rPr>
          <w:rFonts w:ascii="Times New Roman" w:hAnsi="Times New Roman" w:cs="Times New Roman"/>
          <w:i/>
        </w:rPr>
        <w:t>»</w:t>
      </w:r>
      <w:r w:rsidR="002A75A1">
        <w:rPr>
          <w:rFonts w:ascii="Times New Roman" w:hAnsi="Times New Roman" w:cs="Times New Roman"/>
        </w:rPr>
        <w:t>.</w:t>
      </w:r>
    </w:p>
    <w:p w14:paraId="07F41A4E" w14:textId="01F06847" w:rsidR="002A75A1" w:rsidRPr="0015596D" w:rsidRDefault="00446861" w:rsidP="0074459A">
      <w:pPr>
        <w:pStyle w:val="Default"/>
        <w:widowControl/>
        <w:spacing w:after="100" w:afterAutospacing="1" w:line="276" w:lineRule="auto"/>
        <w:ind w:firstLine="454"/>
        <w:jc w:val="both"/>
        <w:rPr>
          <w:rFonts w:ascii="Times New Roman" w:hAnsi="Times New Roman" w:cs="Times New Roman"/>
        </w:rPr>
      </w:pPr>
      <w:r w:rsidRPr="00B07807">
        <w:rPr>
          <w:rFonts w:ascii="Times New Roman" w:hAnsi="Times New Roman" w:cs="Times New Roman"/>
        </w:rPr>
        <w:t xml:space="preserve">Cosi la </w:t>
      </w:r>
      <w:r w:rsidR="005F57A2" w:rsidRPr="00B07807">
        <w:rPr>
          <w:rFonts w:ascii="Times New Roman" w:hAnsi="Times New Roman" w:cs="Times New Roman"/>
          <w:color w:val="3A3A3A"/>
        </w:rPr>
        <w:t>Direttiva 2014/57/UE</w:t>
      </w:r>
      <w:r w:rsidR="000730D8">
        <w:rPr>
          <w:rStyle w:val="Rimandonotaapidipagina"/>
          <w:rFonts w:ascii="Times New Roman" w:hAnsi="Times New Roman" w:cs="Times New Roman"/>
          <w:color w:val="3A3A3A"/>
        </w:rPr>
        <w:footnoteReference w:id="123"/>
      </w:r>
      <w:r w:rsidR="005F57A2" w:rsidRPr="00B07807">
        <w:rPr>
          <w:rFonts w:ascii="Times New Roman" w:hAnsi="Times New Roman" w:cs="Times New Roman"/>
        </w:rPr>
        <w:t xml:space="preserve"> </w:t>
      </w:r>
      <w:r w:rsidRPr="00B07807">
        <w:rPr>
          <w:rFonts w:ascii="Times New Roman" w:hAnsi="Times New Roman" w:cs="Times New Roman"/>
        </w:rPr>
        <w:t>è intervenuta per uniformare il quadro penale dei Paesi mem</w:t>
      </w:r>
      <w:r w:rsidRPr="006F035A">
        <w:rPr>
          <w:rFonts w:ascii="Times New Roman" w:hAnsi="Times New Roman" w:cs="Times New Roman"/>
        </w:rPr>
        <w:t>bri, fissando dei principi comuni</w:t>
      </w:r>
      <w:r w:rsidR="002A75A1" w:rsidRPr="006F035A">
        <w:rPr>
          <w:rFonts w:ascii="Times New Roman" w:hAnsi="Times New Roman" w:cs="Times New Roman"/>
        </w:rPr>
        <w:t xml:space="preserve"> </w:t>
      </w:r>
      <w:r w:rsidR="00B07807" w:rsidRPr="006F035A">
        <w:rPr>
          <w:rFonts w:ascii="Times New Roman" w:hAnsi="Times New Roman" w:cs="Times New Roman"/>
        </w:rPr>
        <w:t>al fine di</w:t>
      </w:r>
      <w:r w:rsidR="002A75A1" w:rsidRPr="006F035A">
        <w:rPr>
          <w:rFonts w:ascii="Times New Roman" w:hAnsi="Times New Roman" w:cs="Times New Roman"/>
        </w:rPr>
        <w:t xml:space="preserve"> reprimere </w:t>
      </w:r>
      <w:r w:rsidR="00787258">
        <w:rPr>
          <w:rFonts w:ascii="Times New Roman" w:hAnsi="Times New Roman" w:cs="Times New Roman"/>
          <w:i/>
        </w:rPr>
        <w:t>«</w:t>
      </w:r>
      <w:r w:rsidR="002A75A1" w:rsidRPr="006F035A">
        <w:rPr>
          <w:rFonts w:ascii="Times New Roman" w:hAnsi="Times New Roman" w:cs="Times New Roman"/>
          <w:i/>
        </w:rPr>
        <w:t>casi gravi di abuso di informaz</w:t>
      </w:r>
      <w:r w:rsidR="002A75A1" w:rsidRPr="0015596D">
        <w:rPr>
          <w:rFonts w:ascii="Times New Roman" w:hAnsi="Times New Roman" w:cs="Times New Roman"/>
          <w:i/>
        </w:rPr>
        <w:t>ioni privilegiate, di manipolazione del mercato e di comunicazione illecita di informazioni privilegiate, quando sono commessi dolosamente</w:t>
      </w:r>
      <w:r w:rsidR="00787258">
        <w:rPr>
          <w:rFonts w:ascii="Times New Roman" w:hAnsi="Times New Roman" w:cs="Times New Roman"/>
          <w:i/>
        </w:rPr>
        <w:t>»</w:t>
      </w:r>
      <w:r w:rsidR="002A75A1" w:rsidRPr="0015596D">
        <w:rPr>
          <w:rFonts w:ascii="Times New Roman" w:hAnsi="Times New Roman" w:cs="Times New Roman"/>
        </w:rPr>
        <w:t>.</w:t>
      </w:r>
    </w:p>
    <w:p w14:paraId="3AA1CE78" w14:textId="3DE9BBAF" w:rsidR="00B07807" w:rsidRPr="0015596D" w:rsidRDefault="00B07807" w:rsidP="0074459A">
      <w:pPr>
        <w:pStyle w:val="CM1"/>
        <w:widowControl/>
        <w:spacing w:before="200" w:after="100" w:afterAutospacing="1" w:line="276" w:lineRule="auto"/>
        <w:ind w:firstLine="454"/>
        <w:jc w:val="both"/>
        <w:rPr>
          <w:rFonts w:ascii="Times New Roman" w:hAnsi="Times New Roman"/>
        </w:rPr>
      </w:pPr>
      <w:r w:rsidRPr="0015596D">
        <w:rPr>
          <w:rFonts w:ascii="Times New Roman" w:hAnsi="Times New Roman"/>
        </w:rPr>
        <w:t xml:space="preserve">Se </w:t>
      </w:r>
      <w:r w:rsidR="00A3561C" w:rsidRPr="0015596D">
        <w:rPr>
          <w:rFonts w:ascii="Times New Roman" w:hAnsi="Times New Roman"/>
        </w:rPr>
        <w:t>sono da segnalare solo</w:t>
      </w:r>
      <w:r w:rsidRPr="0015596D">
        <w:rPr>
          <w:rFonts w:ascii="Times New Roman" w:hAnsi="Times New Roman"/>
        </w:rPr>
        <w:t xml:space="preserve"> differenze</w:t>
      </w:r>
      <w:r w:rsidR="00A3561C" w:rsidRPr="0015596D">
        <w:rPr>
          <w:rFonts w:ascii="Times New Roman" w:hAnsi="Times New Roman"/>
        </w:rPr>
        <w:t xml:space="preserve"> minori</w:t>
      </w:r>
      <w:r w:rsidRPr="0015596D">
        <w:rPr>
          <w:rFonts w:ascii="Times New Roman" w:hAnsi="Times New Roman"/>
        </w:rPr>
        <w:t>, a confronto con la precedente Direttiva</w:t>
      </w:r>
      <w:r w:rsidR="00A3561C" w:rsidRPr="0015596D">
        <w:rPr>
          <w:rFonts w:ascii="Times New Roman" w:hAnsi="Times New Roman"/>
        </w:rPr>
        <w:t>,</w:t>
      </w:r>
      <w:r w:rsidRPr="0015596D">
        <w:rPr>
          <w:rFonts w:ascii="Times New Roman" w:hAnsi="Times New Roman"/>
        </w:rPr>
        <w:t xml:space="preserve"> in termini di definizione della condotta, si deve segnalare, quale n</w:t>
      </w:r>
      <w:r w:rsidR="0016010E" w:rsidRPr="0015596D">
        <w:rPr>
          <w:rFonts w:ascii="Times New Roman" w:hAnsi="Times New Roman"/>
        </w:rPr>
        <w:t>ovità principale</w:t>
      </w:r>
      <w:r w:rsidRPr="0015596D">
        <w:rPr>
          <w:rFonts w:ascii="Times New Roman" w:hAnsi="Times New Roman"/>
        </w:rPr>
        <w:t>,</w:t>
      </w:r>
      <w:r w:rsidR="0016010E" w:rsidRPr="0015596D">
        <w:rPr>
          <w:rFonts w:ascii="Times New Roman" w:hAnsi="Times New Roman"/>
        </w:rPr>
        <w:t xml:space="preserve"> l’obbligo per gli Stati membri di rendere penalmente punibili, come minimo, i casi gravi e dolosi di manipolazione del mercato</w:t>
      </w:r>
      <w:r w:rsidRPr="0015596D">
        <w:rPr>
          <w:rFonts w:ascii="Times New Roman" w:hAnsi="Times New Roman"/>
        </w:rPr>
        <w:t xml:space="preserve">. </w:t>
      </w:r>
      <w:r w:rsidR="00542367" w:rsidRPr="0015596D">
        <w:rPr>
          <w:rFonts w:ascii="Times New Roman" w:hAnsi="Times New Roman"/>
          <w:color w:val="000000"/>
        </w:rPr>
        <w:t>M</w:t>
      </w:r>
      <w:r w:rsidR="006B502C" w:rsidRPr="0015596D">
        <w:rPr>
          <w:rFonts w:ascii="Times New Roman" w:hAnsi="Times New Roman"/>
          <w:color w:val="000000"/>
        </w:rPr>
        <w:t>entre la D</w:t>
      </w:r>
      <w:r w:rsidRPr="0015596D">
        <w:rPr>
          <w:rFonts w:ascii="Times New Roman" w:hAnsi="Times New Roman"/>
          <w:color w:val="000000"/>
        </w:rPr>
        <w:t xml:space="preserve">irettiva 2003/6/CE </w:t>
      </w:r>
      <w:r w:rsidRPr="0015596D">
        <w:rPr>
          <w:rFonts w:ascii="Times New Roman" w:hAnsi="Times New Roman"/>
        </w:rPr>
        <w:t>prevedeva solo la mera facoltà degli Stati membri di prevedere sanzioni penali, fermo restando l’obbligo di sanzioni amministrative</w:t>
      </w:r>
      <w:r w:rsidR="00542367" w:rsidRPr="0015596D">
        <w:rPr>
          <w:rFonts w:ascii="Times New Roman" w:hAnsi="Times New Roman"/>
        </w:rPr>
        <w:t xml:space="preserve"> effettive, proporzionate e dissuasive, l’attuale Direttiva 2014/57/UE prescrive la necessità di punire la manipolazione</w:t>
      </w:r>
      <w:r w:rsidRPr="0015596D">
        <w:rPr>
          <w:rFonts w:ascii="Times New Roman" w:hAnsi="Times New Roman"/>
        </w:rPr>
        <w:t xml:space="preserve"> </w:t>
      </w:r>
      <w:r w:rsidR="00787258">
        <w:rPr>
          <w:rFonts w:ascii="Times New Roman" w:hAnsi="Times New Roman"/>
          <w:i/>
        </w:rPr>
        <w:t>«</w:t>
      </w:r>
      <w:r w:rsidRPr="0015596D">
        <w:rPr>
          <w:rFonts w:ascii="Times New Roman" w:hAnsi="Times New Roman"/>
          <w:i/>
        </w:rPr>
        <w:t>con la pena della reclusione per una durata massima non inferiore ad anni quattro</w:t>
      </w:r>
      <w:r w:rsidR="00787258">
        <w:rPr>
          <w:rFonts w:ascii="Times New Roman" w:hAnsi="Times New Roman"/>
          <w:i/>
        </w:rPr>
        <w:t>»</w:t>
      </w:r>
      <w:r w:rsidRPr="0015596D">
        <w:rPr>
          <w:rFonts w:ascii="Times New Roman" w:hAnsi="Times New Roman"/>
        </w:rPr>
        <w:t>, salvo la possibilità di prevedere pene più gravi.</w:t>
      </w:r>
    </w:p>
    <w:p w14:paraId="6C7AAAE8" w14:textId="77777777" w:rsidR="00ED0643" w:rsidRPr="0015596D" w:rsidRDefault="00872B36" w:rsidP="0074459A">
      <w:pPr>
        <w:pStyle w:val="Default"/>
        <w:widowControl/>
        <w:spacing w:after="100" w:afterAutospacing="1" w:line="276" w:lineRule="auto"/>
        <w:ind w:firstLine="454"/>
        <w:jc w:val="both"/>
        <w:rPr>
          <w:rFonts w:ascii="Times New Roman" w:hAnsi="Times New Roman" w:cs="Times New Roman"/>
        </w:rPr>
      </w:pPr>
      <w:r>
        <w:rPr>
          <w:rFonts w:ascii="Times New Roman" w:hAnsi="Times New Roman" w:cs="Times New Roman"/>
        </w:rPr>
        <w:t>Infine, la stessa D</w:t>
      </w:r>
      <w:r w:rsidR="00C72EA2" w:rsidRPr="0015596D">
        <w:rPr>
          <w:rFonts w:ascii="Times New Roman" w:hAnsi="Times New Roman" w:cs="Times New Roman"/>
        </w:rPr>
        <w:t xml:space="preserve">irettiva ha previsto </w:t>
      </w:r>
      <w:r w:rsidR="00166FE5" w:rsidRPr="0015596D">
        <w:rPr>
          <w:rFonts w:ascii="Times New Roman" w:hAnsi="Times New Roman" w:cs="Times New Roman"/>
        </w:rPr>
        <w:t xml:space="preserve">delle sanzioni minime </w:t>
      </w:r>
      <w:r w:rsidR="00542367" w:rsidRPr="0015596D">
        <w:rPr>
          <w:rFonts w:ascii="Times New Roman" w:hAnsi="Times New Roman" w:cs="Times New Roman"/>
        </w:rPr>
        <w:t>anche con riferimento alle</w:t>
      </w:r>
      <w:r w:rsidR="00166FE5" w:rsidRPr="0015596D">
        <w:rPr>
          <w:rFonts w:ascii="Times New Roman" w:hAnsi="Times New Roman" w:cs="Times New Roman"/>
        </w:rPr>
        <w:t xml:space="preserve"> persone giuridiche.</w:t>
      </w:r>
      <w:r w:rsidR="00542367" w:rsidRPr="0015596D">
        <w:rPr>
          <w:rFonts w:ascii="Times New Roman" w:hAnsi="Times New Roman" w:cs="Times New Roman"/>
        </w:rPr>
        <w:t xml:space="preserve"> In particolare sia il sistema di imputazione della responsabilità, sia la tipologia di sanzioni previste sembrano </w:t>
      </w:r>
      <w:r w:rsidR="006B502C" w:rsidRPr="0015596D">
        <w:rPr>
          <w:rFonts w:ascii="Times New Roman" w:hAnsi="Times New Roman" w:cs="Times New Roman"/>
        </w:rPr>
        <w:t>ricalcare il modello di respon</w:t>
      </w:r>
      <w:r w:rsidR="00542367" w:rsidRPr="0015596D">
        <w:rPr>
          <w:rFonts w:ascii="Times New Roman" w:hAnsi="Times New Roman" w:cs="Times New Roman"/>
        </w:rPr>
        <w:t>sabilità degli enti previsto dal d.lgs. 231 del 2001.</w:t>
      </w:r>
      <w:r w:rsidR="0016010E" w:rsidRPr="0015596D">
        <w:rPr>
          <w:rFonts w:ascii="Times New Roman" w:hAnsi="Times New Roman" w:cs="Times New Roman"/>
        </w:rPr>
        <w:t xml:space="preserve"> </w:t>
      </w:r>
    </w:p>
    <w:p w14:paraId="38FB73E7" w14:textId="77777777" w:rsidR="006F035A" w:rsidRPr="0015596D" w:rsidRDefault="00166FE5" w:rsidP="0074459A">
      <w:pPr>
        <w:pStyle w:val="Default"/>
        <w:widowControl/>
        <w:spacing w:after="100" w:afterAutospacing="1" w:line="276" w:lineRule="auto"/>
        <w:ind w:firstLine="454"/>
        <w:jc w:val="both"/>
        <w:rPr>
          <w:rFonts w:ascii="Times New Roman" w:hAnsi="Times New Roman" w:cs="Times New Roman"/>
        </w:rPr>
      </w:pPr>
      <w:r w:rsidRPr="0015596D">
        <w:rPr>
          <w:rFonts w:ascii="Times New Roman" w:hAnsi="Times New Roman" w:cs="Times New Roman"/>
        </w:rPr>
        <w:t>Altra significativa novità è rappresentata dall’obbligo per gli Stati membri di punire, per detti reati, i casi di concorso, favoreggiamento, induzione e tentativo, sancito all’articolo 6.</w:t>
      </w:r>
    </w:p>
    <w:p w14:paraId="33EAFB38" w14:textId="77777777" w:rsidR="0063428E" w:rsidRPr="0015596D" w:rsidRDefault="006F035A" w:rsidP="0074459A">
      <w:pPr>
        <w:pStyle w:val="Default"/>
        <w:widowControl/>
        <w:spacing w:after="100" w:afterAutospacing="1" w:line="276" w:lineRule="auto"/>
        <w:ind w:firstLine="454"/>
        <w:jc w:val="both"/>
        <w:rPr>
          <w:rFonts w:ascii="Times New Roman" w:hAnsi="Times New Roman" w:cs="Times New Roman"/>
          <w:color w:val="323232"/>
        </w:rPr>
      </w:pPr>
      <w:r w:rsidRPr="0015596D">
        <w:rPr>
          <w:rFonts w:ascii="Times New Roman" w:hAnsi="Times New Roman" w:cs="Times New Roman"/>
        </w:rPr>
        <w:t>I</w:t>
      </w:r>
      <w:r w:rsidR="0063428E" w:rsidRPr="0015596D">
        <w:rPr>
          <w:rFonts w:ascii="Times New Roman" w:hAnsi="Times New Roman" w:cs="Times New Roman"/>
        </w:rPr>
        <w:t>l legislatore comunitario</w:t>
      </w:r>
      <w:r w:rsidRPr="0015596D">
        <w:rPr>
          <w:rFonts w:ascii="Times New Roman" w:hAnsi="Times New Roman" w:cs="Times New Roman"/>
        </w:rPr>
        <w:t xml:space="preserve">, inoltre, è al </w:t>
      </w:r>
      <w:r w:rsidR="0063428E" w:rsidRPr="0015596D">
        <w:rPr>
          <w:rFonts w:ascii="Times New Roman" w:hAnsi="Times New Roman" w:cs="Times New Roman"/>
        </w:rPr>
        <w:t xml:space="preserve">contempo intervenuto anche con il </w:t>
      </w:r>
      <w:r w:rsidR="0063428E" w:rsidRPr="0015596D">
        <w:rPr>
          <w:rFonts w:ascii="Times New Roman" w:hAnsi="Times New Roman" w:cs="Times New Roman"/>
          <w:color w:val="323232"/>
        </w:rPr>
        <w:t>Regolamento UE 596/2014</w:t>
      </w:r>
      <w:r w:rsidR="000641F8" w:rsidRPr="0015596D">
        <w:rPr>
          <w:rStyle w:val="Rimandonotaapidipagina"/>
          <w:rFonts w:ascii="Times New Roman" w:hAnsi="Times New Roman" w:cs="Times New Roman"/>
          <w:color w:val="323232"/>
        </w:rPr>
        <w:footnoteReference w:id="124"/>
      </w:r>
      <w:r w:rsidR="0063428E" w:rsidRPr="0015596D">
        <w:rPr>
          <w:rFonts w:ascii="Times New Roman" w:hAnsi="Times New Roman" w:cs="Times New Roman"/>
          <w:color w:val="323232"/>
        </w:rPr>
        <w:t>, complementare rispetto alla Direttiva, il quale ha definito sanzioni amministrative comuni e direttamente applicabili</w:t>
      </w:r>
      <w:r w:rsidRPr="0015596D">
        <w:rPr>
          <w:rFonts w:ascii="Times New Roman" w:hAnsi="Times New Roman" w:cs="Times New Roman"/>
          <w:color w:val="323232"/>
        </w:rPr>
        <w:t xml:space="preserve"> alle persone fisiche e a quelle giuridiche. Tale Regolamento </w:t>
      </w:r>
      <w:r w:rsidR="00C71C88" w:rsidRPr="0015596D">
        <w:rPr>
          <w:rFonts w:ascii="Times New Roman" w:hAnsi="Times New Roman" w:cs="Times New Roman"/>
          <w:color w:val="323232"/>
        </w:rPr>
        <w:t xml:space="preserve">è dunque occasionato, oltre che dalla necessità di dare una tutela piena ed uniforme al mercato finanziario, esigenza condivisa anche dalla </w:t>
      </w:r>
      <w:r w:rsidR="00C71C88" w:rsidRPr="0015596D">
        <w:rPr>
          <w:rFonts w:ascii="Times New Roman" w:hAnsi="Times New Roman" w:cs="Times New Roman"/>
          <w:color w:val="3A3A3A"/>
        </w:rPr>
        <w:t xml:space="preserve">Direttiva 2014/57/UE, anche dalla necessità di aggiornare il quadro normativo agli sviluppi tecnologici e del mercato finanziario nel frattempo intervenuti. </w:t>
      </w:r>
    </w:p>
    <w:p w14:paraId="58B473A0" w14:textId="77777777" w:rsidR="006F035A" w:rsidRPr="0015596D" w:rsidRDefault="003A2672" w:rsidP="0074459A">
      <w:pPr>
        <w:pStyle w:val="Default"/>
        <w:widowControl/>
        <w:spacing w:after="100" w:afterAutospacing="1" w:line="276" w:lineRule="auto"/>
        <w:ind w:firstLine="454"/>
        <w:jc w:val="both"/>
        <w:rPr>
          <w:rFonts w:ascii="Times New Roman" w:hAnsi="Times New Roman" w:cs="Times New Roman"/>
          <w:color w:val="323232"/>
        </w:rPr>
      </w:pPr>
      <w:r w:rsidRPr="0015596D">
        <w:rPr>
          <w:rFonts w:ascii="Times New Roman" w:hAnsi="Times New Roman" w:cs="Times New Roman"/>
          <w:color w:val="323232"/>
        </w:rPr>
        <w:t xml:space="preserve">Anche tale Regolamento non sembra apportare cambiamenti significativi rispetto alle condotte previste nella </w:t>
      </w:r>
      <w:r w:rsidRPr="0015596D">
        <w:rPr>
          <w:rFonts w:ascii="Times New Roman" w:hAnsi="Times New Roman" w:cs="Times New Roman"/>
          <w:color w:val="3A3A3A"/>
        </w:rPr>
        <w:t xml:space="preserve">Direttiva 2003/6/CE, atteso che tali condotte sono di fatto definite ed esemplificate attraverso l’opera dell’ESMA e delle autorità nazionali di regolazione. A tal proposito, la nuova Direttiva prevede un vero e proprio obbligo di cooperazione, la quale deve avvenire attraverso un’unica autorità preposta. </w:t>
      </w:r>
    </w:p>
    <w:p w14:paraId="30F16BA3" w14:textId="55CE980D" w:rsidR="00BD67B1" w:rsidRPr="00D47F91" w:rsidRDefault="006F035A" w:rsidP="0074459A">
      <w:pPr>
        <w:autoSpaceDE w:val="0"/>
        <w:autoSpaceDN w:val="0"/>
        <w:adjustRightInd w:val="0"/>
        <w:spacing w:before="100" w:beforeAutospacing="1" w:line="276" w:lineRule="auto"/>
        <w:ind w:firstLine="454"/>
        <w:rPr>
          <w:rFonts w:cs="Times New Roman"/>
          <w:color w:val="273236"/>
          <w:kern w:val="1"/>
        </w:rPr>
      </w:pPr>
      <w:r w:rsidRPr="0015596D">
        <w:rPr>
          <w:rFonts w:cs="Times New Roman"/>
          <w:color w:val="323232"/>
        </w:rPr>
        <w:t xml:space="preserve">Il sistema sanzionatorio </w:t>
      </w:r>
      <w:r w:rsidR="000730D8" w:rsidRPr="0015596D">
        <w:rPr>
          <w:rFonts w:cs="Times New Roman"/>
          <w:color w:val="323232"/>
        </w:rPr>
        <w:t xml:space="preserve">dispone che </w:t>
      </w:r>
      <w:r w:rsidR="00DF1000" w:rsidRPr="0015596D">
        <w:rPr>
          <w:rFonts w:cs="Times New Roman"/>
          <w:color w:val="323232"/>
        </w:rPr>
        <w:t xml:space="preserve">gli Stati membri </w:t>
      </w:r>
      <w:r w:rsidR="000730D8" w:rsidRPr="0015596D">
        <w:rPr>
          <w:rFonts w:cs="Times New Roman"/>
          <w:color w:val="323232"/>
        </w:rPr>
        <w:t>provvedano a conferire i poteri alle autorità nazionali competenti a vigilare sui mercati affinché le stesse possano adottare</w:t>
      </w:r>
      <w:r w:rsidR="00DF1000" w:rsidRPr="0015596D">
        <w:rPr>
          <w:rFonts w:cs="Times New Roman"/>
          <w:color w:val="323232"/>
        </w:rPr>
        <w:t xml:space="preserve"> sanzioni amministrative </w:t>
      </w:r>
      <w:r w:rsidR="000730D8" w:rsidRPr="0015596D">
        <w:rPr>
          <w:rFonts w:cs="Times New Roman"/>
          <w:color w:val="323232"/>
        </w:rPr>
        <w:t>di tipo pecuniario</w:t>
      </w:r>
      <w:r w:rsidR="00DF1000" w:rsidRPr="0015596D">
        <w:rPr>
          <w:rFonts w:cs="Times New Roman"/>
          <w:color w:val="323232"/>
        </w:rPr>
        <w:t xml:space="preserve"> </w:t>
      </w:r>
      <w:r w:rsidR="000730D8" w:rsidRPr="0015596D">
        <w:rPr>
          <w:rFonts w:cs="Times New Roman"/>
          <w:color w:val="323232"/>
        </w:rPr>
        <w:t>ed interdittivo, rispettando almeno i minimi sanzionatori ed i parametri di commisurazione della pena previsti dal Regolamento.</w:t>
      </w:r>
    </w:p>
    <w:sectPr w:rsidR="00BD67B1" w:rsidRPr="00D47F91" w:rsidSect="00477BA8">
      <w:footerReference w:type="default" r:id="rId11"/>
      <w:endnotePr>
        <w:numFmt w:val="decimal"/>
      </w:endnotePr>
      <w:pgSz w:w="11900" w:h="16840"/>
      <w:pgMar w:top="1418" w:right="1701" w:bottom="1134" w:left="1701" w:header="709" w:footer="709" w:gutter="0"/>
      <w:pgNumType w:start="1"/>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14973D" w14:textId="77777777" w:rsidR="003C19F1" w:rsidRDefault="003C19F1" w:rsidP="00AA4182">
      <w:r>
        <w:separator/>
      </w:r>
    </w:p>
  </w:endnote>
  <w:endnote w:type="continuationSeparator" w:id="0">
    <w:p w14:paraId="2A08AFDF" w14:textId="77777777" w:rsidR="003C19F1" w:rsidRDefault="003C19F1" w:rsidP="00AA4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E225D5" w14:textId="77777777" w:rsidR="003C19F1" w:rsidRDefault="003C19F1" w:rsidP="00600F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48D24CD9" w14:textId="77777777" w:rsidR="003C19F1" w:rsidRDefault="003C19F1">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C161D2" w14:textId="77777777" w:rsidR="003C19F1" w:rsidRDefault="003C19F1" w:rsidP="00600F4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sidR="00BF436F">
      <w:rPr>
        <w:rStyle w:val="Numeropagina"/>
        <w:noProof/>
      </w:rPr>
      <w:t>I</w:t>
    </w:r>
    <w:r>
      <w:rPr>
        <w:rStyle w:val="Numeropagina"/>
      </w:rPr>
      <w:fldChar w:fldCharType="end"/>
    </w:r>
  </w:p>
  <w:p w14:paraId="30D2A7EE" w14:textId="77777777" w:rsidR="003C19F1" w:rsidRDefault="003C19F1">
    <w:pPr>
      <w:pStyle w:val="Pidipagina"/>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C3498" w14:textId="77777777" w:rsidR="003C19F1" w:rsidRDefault="003C19F1" w:rsidP="00600F45">
    <w:pPr>
      <w:pStyle w:val="Pidipagina"/>
      <w:framePr w:wrap="around" w:vAnchor="text" w:hAnchor="margin" w:xAlign="center" w:y="1"/>
      <w:rPr>
        <w:rStyle w:val="Numeropagina"/>
      </w:rPr>
    </w:pPr>
    <w:r>
      <w:rPr>
        <w:rStyle w:val="Numeropagina"/>
      </w:rPr>
      <w:fldChar w:fldCharType="begin"/>
    </w:r>
    <w:r>
      <w:rPr>
        <w:rStyle w:val="Numeropagina"/>
      </w:rPr>
      <w:instrText>PAGE</w:instrText>
    </w:r>
    <w:r>
      <w:rPr>
        <w:rStyle w:val="Numeropagina"/>
      </w:rPr>
      <w:fldChar w:fldCharType="separate"/>
    </w:r>
    <w:r w:rsidR="00BF436F">
      <w:rPr>
        <w:rStyle w:val="Numeropagina"/>
        <w:noProof/>
      </w:rPr>
      <w:t>2</w:t>
    </w:r>
    <w:r>
      <w:rPr>
        <w:rStyle w:val="Numeropagina"/>
      </w:rPr>
      <w:fldChar w:fldCharType="end"/>
    </w:r>
  </w:p>
  <w:p w14:paraId="11FA825D" w14:textId="77777777" w:rsidR="003C19F1" w:rsidRPr="005F57A2" w:rsidRDefault="003C19F1">
    <w:pPr>
      <w:pStyle w:val="Pidipagina"/>
      <w:rPr>
        <w:rStyle w:val="Enfasidelicat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BB0709" w14:textId="11CE59FF" w:rsidR="003C19F1" w:rsidRDefault="003C19F1" w:rsidP="00AA4182">
      <w:r>
        <w:separator/>
      </w:r>
    </w:p>
  </w:footnote>
  <w:footnote w:type="continuationSeparator" w:id="0">
    <w:p w14:paraId="60708521" w14:textId="77777777" w:rsidR="003C19F1" w:rsidRDefault="003C19F1" w:rsidP="00AA4182">
      <w:r>
        <w:continuationSeparator/>
      </w:r>
    </w:p>
  </w:footnote>
  <w:footnote w:id="1">
    <w:p w14:paraId="50A74598" w14:textId="487B717E"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Lemme</w:t>
      </w:r>
      <w:r w:rsidRPr="00A05575">
        <w:t xml:space="preserve">, </w:t>
      </w:r>
      <w:r w:rsidRPr="005872A2">
        <w:rPr>
          <w:i/>
          <w:iCs/>
        </w:rPr>
        <w:t>Forme di manifestazione dell'aggiotaggio su titoli</w:t>
      </w:r>
      <w:r w:rsidRPr="00A05575">
        <w:t xml:space="preserve">, in AA.VV., </w:t>
      </w:r>
      <w:r w:rsidRPr="005872A2">
        <w:rPr>
          <w:i/>
          <w:iCs/>
        </w:rPr>
        <w:t>La disciplina penale del mercato azionario</w:t>
      </w:r>
      <w:r w:rsidRPr="00A05575">
        <w:t xml:space="preserve">, Padova, 1989, p. 56; </w:t>
      </w:r>
      <w:r w:rsidRPr="00931BDD">
        <w:rPr>
          <w:smallCaps/>
        </w:rPr>
        <w:t>Lemme</w:t>
      </w:r>
      <w:r w:rsidRPr="00A05575">
        <w:t>,</w:t>
      </w:r>
      <w:r w:rsidRPr="005872A2">
        <w:rPr>
          <w:i/>
        </w:rPr>
        <w:t xml:space="preserve"> Il delitto di aggiotaggio bancario</w:t>
      </w:r>
      <w:r w:rsidRPr="00A05575">
        <w:t xml:space="preserve">, in </w:t>
      </w:r>
      <w:r>
        <w:rPr>
          <w:i/>
        </w:rPr>
        <w:t>Giust. p</w:t>
      </w:r>
      <w:r w:rsidRPr="005872A2">
        <w:rPr>
          <w:i/>
        </w:rPr>
        <w:t>en.</w:t>
      </w:r>
      <w:r w:rsidRPr="00A05575">
        <w:t>, 1983, II, 372.</w:t>
      </w:r>
      <w:r>
        <w:t xml:space="preserve"> </w:t>
      </w:r>
    </w:p>
  </w:footnote>
  <w:footnote w:id="2">
    <w:p w14:paraId="3C25AFA9" w14:textId="087221EE" w:rsidR="003C19F1" w:rsidRPr="00A05575" w:rsidRDefault="003C19F1" w:rsidP="00931BDD">
      <w:pPr>
        <w:pStyle w:val="Testonotaapidipagina"/>
        <w:ind w:firstLine="454"/>
      </w:pPr>
      <w:r w:rsidRPr="00A05575">
        <w:rPr>
          <w:rStyle w:val="Rimandonotaapidipagina"/>
        </w:rPr>
        <w:footnoteRef/>
      </w:r>
      <w:r w:rsidRPr="00A05575">
        <w:t xml:space="preserve"> </w:t>
      </w:r>
      <w:r w:rsidRPr="00931BDD">
        <w:rPr>
          <w:smallCaps/>
        </w:rPr>
        <w:t>Sandulli</w:t>
      </w:r>
      <w:r w:rsidRPr="00A05575">
        <w:t xml:space="preserve">, </w:t>
      </w:r>
      <w:r w:rsidRPr="00CD4E39">
        <w:rPr>
          <w:i/>
        </w:rPr>
        <w:t>Aggiotaggio</w:t>
      </w:r>
      <w:r w:rsidRPr="00A05575">
        <w:t xml:space="preserve">, in </w:t>
      </w:r>
      <w:r w:rsidRPr="005872A2">
        <w:rPr>
          <w:i/>
        </w:rPr>
        <w:t>Giust. Pen.</w:t>
      </w:r>
      <w:r w:rsidRPr="00A05575">
        <w:t>, 1936, II, 265.</w:t>
      </w:r>
    </w:p>
  </w:footnote>
  <w:footnote w:id="3">
    <w:p w14:paraId="0CD0BF43" w14:textId="77777777" w:rsidR="003C19F1" w:rsidRPr="00A05575" w:rsidRDefault="003C19F1" w:rsidP="00CA0328">
      <w:pPr>
        <w:pStyle w:val="Testonotaapidipagina"/>
        <w:ind w:firstLine="454"/>
        <w:rPr>
          <w:iCs/>
        </w:rPr>
      </w:pPr>
      <w:r w:rsidRPr="00A05575">
        <w:rPr>
          <w:rStyle w:val="Rimandonotaapidipagina"/>
        </w:rPr>
        <w:footnoteRef/>
      </w:r>
      <w:r w:rsidRPr="00A05575">
        <w:t xml:space="preserve"> Del reato di manipolazione di mercato si possono già scorgere i prodomi nel diritto greco e in quello romano, che prevedevano normative volte ad impedire le incette ed i monopoli. In particolare la </w:t>
      </w:r>
      <w:r w:rsidRPr="00931BDD">
        <w:rPr>
          <w:i/>
          <w:iCs/>
        </w:rPr>
        <w:t>lex Julia de annona</w:t>
      </w:r>
      <w:r w:rsidRPr="00A05575">
        <w:rPr>
          <w:iCs/>
        </w:rPr>
        <w:t xml:space="preserve"> puniva l’incetta di derrate finalizzata ad aumentare il prezzo delle stesse da parte dei </w:t>
      </w:r>
      <w:r w:rsidRPr="00931BDD">
        <w:rPr>
          <w:i/>
          <w:iCs/>
        </w:rPr>
        <w:t>dardanarii</w:t>
      </w:r>
      <w:r w:rsidRPr="00A05575">
        <w:rPr>
          <w:iCs/>
        </w:rPr>
        <w:t>, speculatori che, singolarmente o anche associati in gruppi, si accaparravano beni di largo consumo (</w:t>
      </w:r>
      <w:r w:rsidRPr="005872A2">
        <w:rPr>
          <w:i/>
        </w:rPr>
        <w:t>Digesto</w:t>
      </w:r>
      <w:r w:rsidRPr="00A05575">
        <w:t xml:space="preserve"> 48, 12, 1, 2</w:t>
      </w:r>
      <w:r w:rsidRPr="00A05575">
        <w:rPr>
          <w:iCs/>
        </w:rPr>
        <w:t>).</w:t>
      </w:r>
    </w:p>
    <w:p w14:paraId="3F463126" w14:textId="20DA8409" w:rsidR="003C19F1" w:rsidRPr="00A05575" w:rsidRDefault="003C19F1" w:rsidP="00CA0328">
      <w:pPr>
        <w:pStyle w:val="Testonotaapidipagina"/>
        <w:ind w:firstLine="454"/>
        <w:rPr>
          <w:iCs/>
        </w:rPr>
      </w:pPr>
      <w:r w:rsidRPr="00A05575">
        <w:rPr>
          <w:iCs/>
        </w:rPr>
        <w:t>Nel periodo medioevale il delitto di monopolio è previsto dagli Statuti delle Arti e delle Corporazioni dei Comuni e degli Stati al fine riequilibrare un sistema economico già di per sé chiuso e fortemente disciplinato nei procedimenti produttivi. In tale sistema la libertà di determinazione del prezzo e la possibilità per i membri delle varie corporazioni di porre in essere accordi sui prezzi di vendita avrebbe seriamente danneggiato il cittadino-consumatore e impedito la formazione del giusto prezzo e del giusto guadagno, il quale era invece prescritto dalle dottrine moralistica e canonistica. (</w:t>
      </w:r>
      <w:r w:rsidRPr="00931BDD">
        <w:rPr>
          <w:smallCaps/>
        </w:rPr>
        <w:t>Pedrazzi</w:t>
      </w:r>
      <w:r w:rsidRPr="00A05575">
        <w:rPr>
          <w:iCs/>
        </w:rPr>
        <w:t xml:space="preserve">, </w:t>
      </w:r>
      <w:r w:rsidRPr="005872A2">
        <w:rPr>
          <w:i/>
          <w:iCs/>
        </w:rPr>
        <w:t>Problemi del delitto di aggiotaggio</w:t>
      </w:r>
      <w:r w:rsidRPr="00A05575">
        <w:rPr>
          <w:iCs/>
        </w:rPr>
        <w:t>, Milano, 1958, 23 e ss.)</w:t>
      </w:r>
      <w:r>
        <w:rPr>
          <w:iCs/>
        </w:rPr>
        <w:t xml:space="preserve"> </w:t>
      </w:r>
    </w:p>
    <w:p w14:paraId="02D86769" w14:textId="1B8F1427" w:rsidR="003C19F1" w:rsidRPr="00A05575" w:rsidRDefault="003C19F1" w:rsidP="00CA0328">
      <w:pPr>
        <w:pStyle w:val="Testonotaapidipagina"/>
        <w:ind w:firstLine="454"/>
        <w:rPr>
          <w:iCs/>
        </w:rPr>
      </w:pPr>
      <w:r w:rsidRPr="00A05575">
        <w:rPr>
          <w:iCs/>
        </w:rPr>
        <w:t>Anche con il venir meno dell’Ancien Regime con la Rivoluzione francese il divieto rimane, anche se ne cambiano radicalmente i presupposti. Infatti mentre l’ordinamento medioevale si fondava sul monopolio regolamentato delle categorie professionali, nel periodo rivoluzionario la dottrina economia fisiocratica era dominante e si proponeva di difendere la libertà economica contro la possibilità di intese restrittive poste in essere da gruppi sociali intermedi in generale e da quelli di tipo economico-professionale in particolare. Furono così vietate coalizioni o intese professionali di lavoratori o di imprenditori. (</w:t>
      </w:r>
      <w:r w:rsidRPr="00931BDD">
        <w:rPr>
          <w:smallCaps/>
        </w:rPr>
        <w:t>Pedrazzi</w:t>
      </w:r>
      <w:r w:rsidRPr="00A05575">
        <w:rPr>
          <w:iCs/>
        </w:rPr>
        <w:t xml:space="preserve">, </w:t>
      </w:r>
      <w:r w:rsidRPr="005872A2">
        <w:rPr>
          <w:i/>
          <w:iCs/>
        </w:rPr>
        <w:t>Problemi del delitto di aggiotaggio</w:t>
      </w:r>
      <w:r w:rsidRPr="00A05575">
        <w:rPr>
          <w:iCs/>
        </w:rPr>
        <w:t xml:space="preserve">, </w:t>
      </w:r>
      <w:r>
        <w:rPr>
          <w:iCs/>
        </w:rPr>
        <w:t>cit.</w:t>
      </w:r>
      <w:r w:rsidRPr="00A05575">
        <w:rPr>
          <w:iCs/>
        </w:rPr>
        <w:t>, 24 e ss.)</w:t>
      </w:r>
    </w:p>
  </w:footnote>
  <w:footnote w:id="4">
    <w:p w14:paraId="4303CA23" w14:textId="736BDDC6" w:rsidR="003C19F1" w:rsidRPr="00A05575" w:rsidRDefault="003C19F1" w:rsidP="00CA0328">
      <w:pPr>
        <w:pStyle w:val="Testonotaapidipagina"/>
        <w:ind w:firstLine="454"/>
      </w:pPr>
      <w:r w:rsidRPr="00A05575">
        <w:rPr>
          <w:rStyle w:val="Rimandonotaapidipagina"/>
        </w:rPr>
        <w:footnoteRef/>
      </w:r>
      <w:r w:rsidRPr="00A05575">
        <w:t xml:space="preserve"> Art. 389 del Codice penale per gli Stati di S.M. il re di Sardegna: </w:t>
      </w:r>
      <w:r>
        <w:rPr>
          <w:i/>
        </w:rPr>
        <w:t>«</w:t>
      </w:r>
      <w:r w:rsidRPr="00A05575">
        <w:rPr>
          <w:i/>
        </w:rPr>
        <w:t>Coloro che spargendo fatti falsi nel pubblico, o facendo offerte maggiori del prezzo richiesto dai venditori stessi, o concertandosi coi principali venditori di una medesima mercanzia o derrata o perché non sia venduta o perché sia venduta ad un determinato prezzo, o che per qualsivoglia mezzo doloso avranno prodotto l’alzamento o l’abbassamento del prezzo di derrate, di mercanzie, di carte o di effetti pubblici al di sopra o al di sotto di quello che sarebbe stato determinato dalla naturale e libera concorrenza dei commercianti, saranno puniti col carcere da un mese ad un anno, ed inoltre con una multa da cinquecento lire a cinquemila</w:t>
      </w:r>
      <w:r>
        <w:rPr>
          <w:i/>
        </w:rPr>
        <w:t>»</w:t>
      </w:r>
    </w:p>
  </w:footnote>
  <w:footnote w:id="5">
    <w:p w14:paraId="036E73E4" w14:textId="470B0CFF" w:rsidR="003C19F1" w:rsidRPr="00A05575" w:rsidRDefault="003C19F1" w:rsidP="00CA0328">
      <w:pPr>
        <w:pStyle w:val="Testonotaapidipagina"/>
        <w:ind w:firstLine="454"/>
      </w:pPr>
      <w:r w:rsidRPr="00A05575">
        <w:rPr>
          <w:rStyle w:val="Rimandonotaapidipagina"/>
        </w:rPr>
        <w:footnoteRef/>
      </w:r>
      <w:r w:rsidRPr="00A05575">
        <w:t xml:space="preserve"> Art. 390 del Codice penale per gli Stati di S.M. il re di Sardegna: </w:t>
      </w:r>
      <w:r>
        <w:rPr>
          <w:i/>
        </w:rPr>
        <w:t>«</w:t>
      </w:r>
      <w:r w:rsidRPr="00A05575">
        <w:rPr>
          <w:i/>
        </w:rPr>
        <w:t>La pena del carcere sarà di due mesi a due anni, e la multa di lire mille a diecimila, se tali maneggi sieno stati praticati rispetto ai grani, granaglie, sostanze farinacee, pane o vino</w:t>
      </w:r>
      <w:r>
        <w:rPr>
          <w:i/>
        </w:rPr>
        <w:t>».</w:t>
      </w:r>
    </w:p>
  </w:footnote>
  <w:footnote w:id="6">
    <w:p w14:paraId="3F60ADC5" w14:textId="0BAC1C2C" w:rsidR="003C19F1" w:rsidRPr="00A05575" w:rsidRDefault="003C19F1" w:rsidP="00CA0328">
      <w:pPr>
        <w:pStyle w:val="Testonotaapidipagina"/>
        <w:ind w:firstLine="454"/>
      </w:pPr>
      <w:r w:rsidRPr="00A05575">
        <w:rPr>
          <w:rStyle w:val="Rimandonotaapidipagina"/>
        </w:rPr>
        <w:footnoteRef/>
      </w:r>
      <w:r w:rsidRPr="00A05575">
        <w:t xml:space="preserve"> Art. 484 del Codice penale per gli Stati di Parma, Piacenza, ecc. ecc. ecc.: </w:t>
      </w:r>
      <w:r>
        <w:rPr>
          <w:i/>
        </w:rPr>
        <w:t>«</w:t>
      </w:r>
      <w:r w:rsidRPr="00A05575">
        <w:rPr>
          <w:i/>
        </w:rPr>
        <w:t xml:space="preserve">Tutti coloro che, o spargendo a bella posta fatti falsi nel pubblico, o facendo offerte maggiori del prezzo richiesto dà venditori stessi, o concertandosi </w:t>
      </w:r>
      <w:r>
        <w:rPr>
          <w:i/>
        </w:rPr>
        <w:t>co’</w:t>
      </w:r>
      <w:r w:rsidRPr="00A05575">
        <w:rPr>
          <w:i/>
        </w:rPr>
        <w:t xml:space="preserve"> principali possessori d’una medesima merce o derrata perché non sia venduta, o venduta sia ad un determinato prezzo, o per qualsivoglia altro mezzo doloso avranno prodotto l’alzamento o l’abbassamento del prezzo di derrate, carte, mercanzie, carte o biglietti pubblici al disopra o al disotto di quello che sarebbe stato determinato dalla naturale e libera concorrenza de’ commercianti, saranno puniti con prigionia d’un mese almeno e d’un anno al più, e con multa da 500 lire a 1000</w:t>
      </w:r>
      <w:r>
        <w:rPr>
          <w:i/>
        </w:rPr>
        <w:t>».</w:t>
      </w:r>
    </w:p>
  </w:footnote>
  <w:footnote w:id="7">
    <w:p w14:paraId="7AF74464" w14:textId="07972498" w:rsidR="003C19F1" w:rsidRPr="00A05575" w:rsidRDefault="003C19F1" w:rsidP="00CA0328">
      <w:pPr>
        <w:pStyle w:val="Testonotaapidipagina"/>
        <w:ind w:firstLine="454"/>
      </w:pPr>
      <w:r w:rsidRPr="00A05575">
        <w:rPr>
          <w:rStyle w:val="Rimandonotaapidipagina"/>
        </w:rPr>
        <w:footnoteRef/>
      </w:r>
      <w:r w:rsidRPr="00A05575">
        <w:t xml:space="preserve"> C</w:t>
      </w:r>
      <w:r>
        <w:t>ARMIGNANI</w:t>
      </w:r>
      <w:r w:rsidRPr="00A05575">
        <w:t xml:space="preserve">, </w:t>
      </w:r>
      <w:r w:rsidRPr="005872A2">
        <w:rPr>
          <w:i/>
        </w:rPr>
        <w:t>Juris criminalis elementa</w:t>
      </w:r>
      <w:r w:rsidRPr="00A05575">
        <w:t>, 5</w:t>
      </w:r>
      <w:r>
        <w:rPr>
          <w:vertAlign w:val="superscript"/>
        </w:rPr>
        <w:t>a</w:t>
      </w:r>
      <w:r w:rsidRPr="00A05575">
        <w:t xml:space="preserve"> ed., 1834, §1209; § 1211.</w:t>
      </w:r>
    </w:p>
  </w:footnote>
  <w:footnote w:id="8">
    <w:p w14:paraId="7B07AAC2" w14:textId="77777777" w:rsidR="003C19F1" w:rsidRPr="00A05575" w:rsidRDefault="003C19F1" w:rsidP="00CA0328">
      <w:pPr>
        <w:pStyle w:val="Testonotaapidipagina"/>
        <w:ind w:firstLine="454"/>
      </w:pPr>
      <w:r w:rsidRPr="00A05575">
        <w:rPr>
          <w:rStyle w:val="Rimandonotaapidipagina"/>
        </w:rPr>
        <w:footnoteRef/>
      </w:r>
      <w:r w:rsidRPr="00A05575">
        <w:t xml:space="preserve"> Il codice Zanardelli sostituì nel 1889 il codice penale sardo, la cui applicazione venne estesa a tutto il Regno con l’unificazione d’Italia ma con l’importante eccezione della Toscana, in cui continuò ad applicarsi il codice penale toscano.</w:t>
      </w:r>
    </w:p>
  </w:footnote>
  <w:footnote w:id="9">
    <w:p w14:paraId="702ECD2F" w14:textId="77777777" w:rsidR="003C19F1" w:rsidRPr="00A05575" w:rsidRDefault="003C19F1" w:rsidP="00CA0328">
      <w:pPr>
        <w:pStyle w:val="Testonotaapidipagina"/>
        <w:ind w:firstLine="454"/>
      </w:pPr>
      <w:r w:rsidRPr="00A05575">
        <w:rPr>
          <w:rStyle w:val="Rimandonotaapidipagina"/>
        </w:rPr>
        <w:footnoteRef/>
      </w:r>
      <w:r w:rsidRPr="00A05575">
        <w:t xml:space="preserve"> </w:t>
      </w:r>
      <w:r w:rsidRPr="005872A2">
        <w:rPr>
          <w:i/>
        </w:rPr>
        <w:t>Relazione della Commissione della Camera dei deputati sul Progetto del Codice penale</w:t>
      </w:r>
      <w:r w:rsidRPr="00A05575">
        <w:t>, n. CXCIII.</w:t>
      </w:r>
    </w:p>
  </w:footnote>
  <w:footnote w:id="10">
    <w:p w14:paraId="4E8275E4" w14:textId="53BD9A7C"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Sandulli</w:t>
      </w:r>
      <w:r w:rsidRPr="00A05575">
        <w:t xml:space="preserve">, </w:t>
      </w:r>
      <w:r w:rsidRPr="005872A2">
        <w:rPr>
          <w:i/>
        </w:rPr>
        <w:t>Aggiotaggio</w:t>
      </w:r>
      <w:r w:rsidRPr="00A05575">
        <w:t>, in Giust. Pen., 1936, II, 265.</w:t>
      </w:r>
    </w:p>
  </w:footnote>
  <w:footnote w:id="11">
    <w:p w14:paraId="7DF1825E" w14:textId="77777777" w:rsidR="003C19F1" w:rsidRPr="00A05575" w:rsidRDefault="003C19F1" w:rsidP="00CA0328">
      <w:pPr>
        <w:pStyle w:val="Testonotaapidipagina"/>
        <w:ind w:firstLine="454"/>
      </w:pPr>
      <w:r w:rsidRPr="00A05575">
        <w:rPr>
          <w:rStyle w:val="Rimandonotaapidipagina"/>
        </w:rPr>
        <w:footnoteRef/>
      </w:r>
      <w:r w:rsidRPr="00A05575">
        <w:t xml:space="preserve"> Trib. Milano, 11 setembre 1893, Bernacchi, in </w:t>
      </w:r>
      <w:r w:rsidRPr="00CD4E39">
        <w:rPr>
          <w:i/>
        </w:rPr>
        <w:t>Riv. pen.</w:t>
      </w:r>
      <w:r>
        <w:t>,</w:t>
      </w:r>
      <w:r w:rsidRPr="00A05575">
        <w:t xml:space="preserve"> 38, 463.</w:t>
      </w:r>
    </w:p>
  </w:footnote>
  <w:footnote w:id="12">
    <w:p w14:paraId="3523487C" w14:textId="1115032D" w:rsidR="003C19F1" w:rsidRPr="00A05575" w:rsidRDefault="003C19F1" w:rsidP="00CA0328">
      <w:pPr>
        <w:pStyle w:val="Testonotaapidipagina"/>
        <w:ind w:firstLine="454"/>
      </w:pPr>
      <w:r w:rsidRPr="00A05575">
        <w:rPr>
          <w:rStyle w:val="Rimandonotaapidipagina"/>
        </w:rPr>
        <w:footnoteRef/>
      </w:r>
      <w:r w:rsidRPr="00A05575">
        <w:t xml:space="preserve"> App. Brescia, 9 novembre 1893, Franzini, in </w:t>
      </w:r>
      <w:r w:rsidRPr="003E34EF">
        <w:rPr>
          <w:i/>
        </w:rPr>
        <w:t>Foro it.</w:t>
      </w:r>
      <w:r>
        <w:t>,</w:t>
      </w:r>
      <w:r w:rsidRPr="00A05575">
        <w:t xml:space="preserve"> 1894, II, 33 (in nota), la quale ammettendo che l’incetta sia </w:t>
      </w:r>
      <w:r>
        <w:rPr>
          <w:i/>
        </w:rPr>
        <w:t>«</w:t>
      </w:r>
      <w:r w:rsidRPr="00A05575">
        <w:rPr>
          <w:i/>
        </w:rPr>
        <w:t>una speculazione riprovevole</w:t>
      </w:r>
      <w:r>
        <w:rPr>
          <w:i/>
        </w:rPr>
        <w:t>»</w:t>
      </w:r>
      <w:r w:rsidRPr="00A05575">
        <w:t xml:space="preserve">, precisa che con essa </w:t>
      </w:r>
      <w:r>
        <w:rPr>
          <w:i/>
        </w:rPr>
        <w:t>«</w:t>
      </w:r>
      <w:r w:rsidRPr="00A05575">
        <w:rPr>
          <w:i/>
        </w:rPr>
        <w:t>si fa un pessimo uso della libertà di commercio, ma non si compie alcun atto ingannatorio verso alcuno</w:t>
      </w:r>
      <w:r>
        <w:rPr>
          <w:i/>
        </w:rPr>
        <w:t>»</w:t>
      </w:r>
      <w:r w:rsidRPr="00A05575">
        <w:t>.</w:t>
      </w:r>
    </w:p>
  </w:footnote>
  <w:footnote w:id="13">
    <w:p w14:paraId="25A08C19" w14:textId="656D5E48" w:rsidR="003C19F1" w:rsidRPr="00A05575" w:rsidRDefault="003C19F1" w:rsidP="00CA0328">
      <w:pPr>
        <w:pStyle w:val="Testonotaapidipagina"/>
        <w:ind w:firstLine="454"/>
      </w:pPr>
      <w:r w:rsidRPr="00A05575">
        <w:rPr>
          <w:rStyle w:val="Rimandonotaapidipagina"/>
        </w:rPr>
        <w:footnoteRef/>
      </w:r>
      <w:r w:rsidRPr="00A05575">
        <w:rPr>
          <w:iCs/>
        </w:rPr>
        <w:t xml:space="preserve"> </w:t>
      </w:r>
      <w:r w:rsidRPr="00931BDD">
        <w:rPr>
          <w:smallCaps/>
        </w:rPr>
        <w:t>Pedrazzi</w:t>
      </w:r>
      <w:r w:rsidRPr="00A05575">
        <w:rPr>
          <w:iCs/>
        </w:rPr>
        <w:t xml:space="preserve">, </w:t>
      </w:r>
      <w:r w:rsidRPr="003E34EF">
        <w:rPr>
          <w:i/>
          <w:iCs/>
        </w:rPr>
        <w:t>Problemi del delitto di aggiotaggio</w:t>
      </w:r>
      <w:r w:rsidRPr="00A05575">
        <w:rPr>
          <w:iCs/>
        </w:rPr>
        <w:t xml:space="preserve">, </w:t>
      </w:r>
      <w:r>
        <w:rPr>
          <w:iCs/>
        </w:rPr>
        <w:t>cit.</w:t>
      </w:r>
      <w:r w:rsidRPr="00A05575">
        <w:rPr>
          <w:iCs/>
        </w:rPr>
        <w:t>, 75 e ss.</w:t>
      </w:r>
    </w:p>
  </w:footnote>
  <w:footnote w:id="14">
    <w:p w14:paraId="1B2B66C3" w14:textId="77777777" w:rsidR="003C19F1" w:rsidRPr="00A05575" w:rsidRDefault="003C19F1" w:rsidP="00CA0328">
      <w:pPr>
        <w:pStyle w:val="Testonotaapidipagina"/>
        <w:ind w:firstLine="454"/>
      </w:pPr>
      <w:r w:rsidRPr="00A05575">
        <w:rPr>
          <w:rStyle w:val="Rimandonotaapidipagina"/>
        </w:rPr>
        <w:footnoteRef/>
      </w:r>
      <w:r w:rsidRPr="00A05575">
        <w:t xml:space="preserve"> Cass. 25 novembre 1893, Vaccher, in </w:t>
      </w:r>
      <w:r w:rsidRPr="003E34EF">
        <w:rPr>
          <w:i/>
        </w:rPr>
        <w:t>Riv. pen</w:t>
      </w:r>
      <w:r w:rsidRPr="00A05575">
        <w:t>.</w:t>
      </w:r>
      <w:r>
        <w:t>,</w:t>
      </w:r>
      <w:r w:rsidRPr="00A05575">
        <w:t xml:space="preserve"> 39, 73; Cass. 18 dicembre 1893, Eminente, in </w:t>
      </w:r>
      <w:r w:rsidRPr="003E34EF">
        <w:rPr>
          <w:i/>
        </w:rPr>
        <w:t>Foro it.</w:t>
      </w:r>
      <w:r>
        <w:t>,</w:t>
      </w:r>
      <w:r w:rsidRPr="00A05575">
        <w:t xml:space="preserve"> 1894, II, 156; Cass. 10 aprile 1894, Lattes, in </w:t>
      </w:r>
      <w:r w:rsidRPr="003E34EF">
        <w:rPr>
          <w:i/>
        </w:rPr>
        <w:t>Foro it</w:t>
      </w:r>
      <w:r w:rsidRPr="00A05575">
        <w:t>.</w:t>
      </w:r>
      <w:r>
        <w:t>,</w:t>
      </w:r>
      <w:r w:rsidRPr="00A05575">
        <w:t xml:space="preserve"> 1894, II, 341 nota 1; ma vedi </w:t>
      </w:r>
      <w:r w:rsidRPr="00A05575">
        <w:rPr>
          <w:i/>
        </w:rPr>
        <w:t>contra</w:t>
      </w:r>
      <w:r w:rsidRPr="00A05575">
        <w:t xml:space="preserve"> Cass. 22 febbraio 1894, Conti, in </w:t>
      </w:r>
      <w:r w:rsidRPr="003E34EF">
        <w:rPr>
          <w:i/>
        </w:rPr>
        <w:t>Foro it.</w:t>
      </w:r>
      <w:r>
        <w:rPr>
          <w:i/>
        </w:rPr>
        <w:t>,</w:t>
      </w:r>
      <w:r w:rsidRPr="00A05575">
        <w:t xml:space="preserve"> 1894, II, 341; Cass. 9 luglio 1894, Bernacchi, in </w:t>
      </w:r>
      <w:r w:rsidRPr="003E34EF">
        <w:rPr>
          <w:i/>
        </w:rPr>
        <w:t>Foro it.</w:t>
      </w:r>
      <w:r>
        <w:t>,</w:t>
      </w:r>
      <w:r w:rsidRPr="00A05575">
        <w:t xml:space="preserve"> 1894, II, 341.</w:t>
      </w:r>
    </w:p>
  </w:footnote>
  <w:footnote w:id="15">
    <w:p w14:paraId="6B120BD9" w14:textId="24B77B85" w:rsidR="003C19F1" w:rsidRPr="00A05575" w:rsidRDefault="003C19F1" w:rsidP="00CA0328">
      <w:pPr>
        <w:pStyle w:val="Testonotaapidipagina"/>
        <w:ind w:firstLine="454"/>
      </w:pPr>
      <w:r w:rsidRPr="00A05575">
        <w:rPr>
          <w:rStyle w:val="Rimandonotaapidipagina"/>
        </w:rPr>
        <w:footnoteRef/>
      </w:r>
      <w:r w:rsidRPr="00A05575">
        <w:t xml:space="preserve"> Per tutti </w:t>
      </w:r>
      <w:r w:rsidRPr="00931BDD">
        <w:rPr>
          <w:smallCaps/>
        </w:rPr>
        <w:t>Escobedo</w:t>
      </w:r>
      <w:r w:rsidRPr="00A05575">
        <w:t xml:space="preserve">, </w:t>
      </w:r>
      <w:r w:rsidRPr="003E34EF">
        <w:rPr>
          <w:i/>
        </w:rPr>
        <w:t>L’aggiotaggio</w:t>
      </w:r>
      <w:r w:rsidRPr="00A05575">
        <w:t xml:space="preserve">, in </w:t>
      </w:r>
      <w:r w:rsidRPr="003E34EF">
        <w:rPr>
          <w:i/>
        </w:rPr>
        <w:t>Giust. pen.</w:t>
      </w:r>
      <w:r>
        <w:t>,</w:t>
      </w:r>
      <w:r w:rsidRPr="00A05575">
        <w:t xml:space="preserve"> 1933, II, 849.</w:t>
      </w:r>
    </w:p>
  </w:footnote>
  <w:footnote w:id="16">
    <w:p w14:paraId="2E5D68D6" w14:textId="291108C4" w:rsidR="003C19F1" w:rsidRPr="00A05575" w:rsidRDefault="003C19F1" w:rsidP="00CA0328">
      <w:pPr>
        <w:pStyle w:val="Testonotaapidipagina"/>
        <w:ind w:firstLine="454"/>
      </w:pPr>
      <w:r w:rsidRPr="00A05575">
        <w:rPr>
          <w:rStyle w:val="Rimandonotaapidipagina"/>
        </w:rPr>
        <w:footnoteRef/>
      </w:r>
      <w:r w:rsidRPr="00A05575">
        <w:t xml:space="preserve"> In tal senso, </w:t>
      </w:r>
      <w:r w:rsidRPr="00931BDD">
        <w:rPr>
          <w:smallCaps/>
        </w:rPr>
        <w:t>Manzini</w:t>
      </w:r>
      <w:r w:rsidRPr="00A05575">
        <w:t xml:space="preserve">, </w:t>
      </w:r>
      <w:r w:rsidRPr="003E34EF">
        <w:rPr>
          <w:i/>
        </w:rPr>
        <w:t>Trattato di diritto penale italiano</w:t>
      </w:r>
      <w:r w:rsidRPr="00A05575">
        <w:t xml:space="preserve">, Vol. VI, Torino, 1915, 281 e ss., il quale argomenta come la fraudolenza del mezzi debba essere vista in relazione </w:t>
      </w:r>
      <w:r>
        <w:rPr>
          <w:i/>
        </w:rPr>
        <w:t>«</w:t>
      </w:r>
      <w:r w:rsidRPr="00E14036">
        <w:rPr>
          <w:i/>
        </w:rPr>
        <w:t>allo scopo per cui vengono messi in opera e alle peculiarità della psicologia collettiva</w:t>
      </w:r>
      <w:r>
        <w:rPr>
          <w:i/>
        </w:rPr>
        <w:t>»</w:t>
      </w:r>
      <w:r w:rsidRPr="00A05575">
        <w:t xml:space="preserve">. Prosegue l’Autore evidenziando come la frode vada considerata </w:t>
      </w:r>
      <w:r>
        <w:rPr>
          <w:i/>
        </w:rPr>
        <w:t>«</w:t>
      </w:r>
      <w:r w:rsidRPr="00E14036">
        <w:rPr>
          <w:i/>
        </w:rPr>
        <w:t>in rapporto alla psicologia collettiva, e non alla psicologia individuale</w:t>
      </w:r>
      <w:r>
        <w:rPr>
          <w:i/>
        </w:rPr>
        <w:t>»</w:t>
      </w:r>
      <w:r w:rsidRPr="00A05575">
        <w:t>, in quanto gli stessi atti ingannatori hanno effetti differenti a seconda del contesto in cui sono posti in essere. Così, argomenta ancora l’Autore, una frode che sarebbe stata grossolana se rivolta nei confronti del singolo diventa ingannatoria quando attuata nell’ambiente del pubblico mercato. Cfr. anche</w:t>
      </w:r>
      <w:r w:rsidRPr="00931BDD">
        <w:rPr>
          <w:smallCaps/>
        </w:rPr>
        <w:t xml:space="preserve"> Zampa</w:t>
      </w:r>
      <w:r w:rsidRPr="00A05575">
        <w:t xml:space="preserve">, </w:t>
      </w:r>
      <w:r w:rsidRPr="003E34EF">
        <w:rPr>
          <w:i/>
        </w:rPr>
        <w:t>L’art. 293 e le operazioni di borsa</w:t>
      </w:r>
      <w:r w:rsidRPr="00A05575">
        <w:t xml:space="preserve">, in </w:t>
      </w:r>
      <w:r>
        <w:rPr>
          <w:i/>
        </w:rPr>
        <w:t>Suppl. r</w:t>
      </w:r>
      <w:r w:rsidRPr="003E34EF">
        <w:rPr>
          <w:i/>
        </w:rPr>
        <w:t>iv. pen.</w:t>
      </w:r>
      <w:r w:rsidRPr="00A05575">
        <w:t xml:space="preserve">, X, 1902, 8 e ss.; </w:t>
      </w:r>
      <w:r w:rsidRPr="00931BDD">
        <w:rPr>
          <w:smallCaps/>
        </w:rPr>
        <w:t>Pafundi</w:t>
      </w:r>
      <w:r w:rsidRPr="00A05575">
        <w:t xml:space="preserve">, </w:t>
      </w:r>
      <w:r w:rsidRPr="003E34EF">
        <w:rPr>
          <w:i/>
        </w:rPr>
        <w:t>L’aggiotaggio nel codice penale e nel Progetto del nuovo cod. pen.</w:t>
      </w:r>
      <w:r w:rsidRPr="00A05575">
        <w:t xml:space="preserve">, in </w:t>
      </w:r>
      <w:r w:rsidRPr="003E34EF">
        <w:rPr>
          <w:i/>
        </w:rPr>
        <w:t>Rassegna pen.</w:t>
      </w:r>
      <w:r>
        <w:t>,</w:t>
      </w:r>
      <w:r w:rsidRPr="00A05575">
        <w:t xml:space="preserve"> 1929, 891.</w:t>
      </w:r>
    </w:p>
  </w:footnote>
  <w:footnote w:id="17">
    <w:p w14:paraId="508BADE3" w14:textId="77777777" w:rsidR="003C19F1" w:rsidRPr="00A05575" w:rsidRDefault="003C19F1" w:rsidP="00CA0328">
      <w:pPr>
        <w:pStyle w:val="Testonotaapidipagina"/>
        <w:ind w:firstLine="454"/>
      </w:pPr>
      <w:r w:rsidRPr="00A05575">
        <w:rPr>
          <w:rStyle w:val="Rimandonotaapidipagina"/>
        </w:rPr>
        <w:footnoteRef/>
      </w:r>
      <w:r w:rsidRPr="00A05575">
        <w:t xml:space="preserve"> Trib. Milano, 25 giugno 1931, in </w:t>
      </w:r>
      <w:r w:rsidRPr="003E34EF">
        <w:rPr>
          <w:i/>
        </w:rPr>
        <w:t>Riv. pen.</w:t>
      </w:r>
      <w:r w:rsidRPr="00A05575">
        <w:t xml:space="preserve"> 1932, 520.</w:t>
      </w:r>
    </w:p>
  </w:footnote>
  <w:footnote w:id="18">
    <w:p w14:paraId="199AB6A2" w14:textId="77777777" w:rsidR="003C19F1" w:rsidRPr="00A05575" w:rsidRDefault="003C19F1" w:rsidP="00CA0328">
      <w:pPr>
        <w:pStyle w:val="Testonotaapidipagina"/>
        <w:ind w:firstLine="454"/>
      </w:pPr>
      <w:r w:rsidRPr="00A05575">
        <w:rPr>
          <w:rStyle w:val="Rimandonotaapidipagina"/>
        </w:rPr>
        <w:footnoteRef/>
      </w:r>
      <w:r w:rsidRPr="00A05575">
        <w:t xml:space="preserve"> App. Milano, 26 novembre 1931</w:t>
      </w:r>
      <w:r>
        <w:t xml:space="preserve"> (inedita)</w:t>
      </w:r>
      <w:r w:rsidRPr="00A05575">
        <w:t>.</w:t>
      </w:r>
    </w:p>
  </w:footnote>
  <w:footnote w:id="19">
    <w:p w14:paraId="5F5D1E2C" w14:textId="77777777" w:rsidR="003C19F1" w:rsidRPr="00A05575" w:rsidRDefault="003C19F1" w:rsidP="00CA0328">
      <w:pPr>
        <w:pStyle w:val="Testonotaapidipagina"/>
        <w:ind w:firstLine="454"/>
      </w:pPr>
      <w:r w:rsidRPr="00A05575">
        <w:rPr>
          <w:rStyle w:val="Rimandonotaapidipagina"/>
        </w:rPr>
        <w:footnoteRef/>
      </w:r>
      <w:r w:rsidRPr="00A05575">
        <w:t xml:space="preserve"> Cass. 7 giugno 1933, Brusadelli e altri, in </w:t>
      </w:r>
      <w:r w:rsidRPr="003E34EF">
        <w:rPr>
          <w:i/>
        </w:rPr>
        <w:t>Giust. pen.</w:t>
      </w:r>
      <w:r>
        <w:rPr>
          <w:i/>
        </w:rPr>
        <w:t>,</w:t>
      </w:r>
      <w:r w:rsidRPr="00A05575">
        <w:t xml:space="preserve"> 1933, II, 880.</w:t>
      </w:r>
    </w:p>
  </w:footnote>
  <w:footnote w:id="20">
    <w:p w14:paraId="125B561A" w14:textId="5AA8E2F6"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Molinaro</w:t>
      </w:r>
      <w:r w:rsidRPr="00A05575">
        <w:t xml:space="preserve">, voce </w:t>
      </w:r>
      <w:r w:rsidRPr="004026A6">
        <w:rPr>
          <w:i/>
        </w:rPr>
        <w:t>Aggiotaggio e manipolazione di mercato</w:t>
      </w:r>
      <w:r w:rsidRPr="00A05575">
        <w:t xml:space="preserve">, in </w:t>
      </w:r>
      <w:r w:rsidRPr="004026A6">
        <w:rPr>
          <w:i/>
        </w:rPr>
        <w:t>Enciclopedia giuridica Treccani</w:t>
      </w:r>
      <w:r>
        <w:t>, Roma</w:t>
      </w:r>
      <w:r w:rsidRPr="00A05575">
        <w:t xml:space="preserve">, 2009. A tal proposito cfr. anche </w:t>
      </w:r>
      <w:r w:rsidRPr="00931BDD">
        <w:rPr>
          <w:smallCaps/>
        </w:rPr>
        <w:t>Pedrazzi</w:t>
      </w:r>
      <w:r w:rsidRPr="00A05575">
        <w:t xml:space="preserve">, </w:t>
      </w:r>
      <w:r w:rsidRPr="004026A6">
        <w:rPr>
          <w:i/>
        </w:rPr>
        <w:t>Problemi del delitto di aggiotaggio</w:t>
      </w:r>
      <w:r w:rsidRPr="00A05575">
        <w:t>, cit., 34 e ss.</w:t>
      </w:r>
    </w:p>
  </w:footnote>
  <w:footnote w:id="21">
    <w:p w14:paraId="5502EE4C" w14:textId="054DE9C1" w:rsidR="003C19F1" w:rsidRPr="00A05575" w:rsidRDefault="003C19F1" w:rsidP="00CA0328">
      <w:pPr>
        <w:pStyle w:val="Testonotaapidipagina"/>
        <w:ind w:firstLine="454"/>
      </w:pPr>
      <w:r w:rsidRPr="00A05575">
        <w:rPr>
          <w:rStyle w:val="Rimandonotaapidipagina"/>
        </w:rPr>
        <w:footnoteRef/>
      </w:r>
      <w:r w:rsidRPr="00A05575">
        <w:t xml:space="preserve"> La giurisprudenza e la dottrina maggioritarie sotto il codice Zanardelli escludevano il tentativo nel delitto di aggiotaggio (</w:t>
      </w:r>
      <w:r w:rsidRPr="00931BDD">
        <w:rPr>
          <w:smallCaps/>
        </w:rPr>
        <w:t>Zampa</w:t>
      </w:r>
      <w:r w:rsidRPr="00A05575">
        <w:t xml:space="preserve">, </w:t>
      </w:r>
      <w:r w:rsidRPr="003E34EF">
        <w:rPr>
          <w:i/>
        </w:rPr>
        <w:t>L’art. 293 e le operazioni di borsa</w:t>
      </w:r>
      <w:r>
        <w:rPr>
          <w:i/>
        </w:rPr>
        <w:t>,</w:t>
      </w:r>
      <w:r w:rsidRPr="00A05575">
        <w:t xml:space="preserve"> cit., 38 e s.), men</w:t>
      </w:r>
      <w:r>
        <w:t xml:space="preserve">tre in senso contrario </w:t>
      </w:r>
      <w:r w:rsidRPr="00931BDD">
        <w:rPr>
          <w:smallCaps/>
        </w:rPr>
        <w:t>Manzini</w:t>
      </w:r>
      <w:r w:rsidRPr="00A05575">
        <w:t xml:space="preserve">, </w:t>
      </w:r>
      <w:r w:rsidRPr="003E34EF">
        <w:rPr>
          <w:i/>
        </w:rPr>
        <w:t>Trattato di diritto penale italiano</w:t>
      </w:r>
      <w:r w:rsidRPr="00A05575">
        <w:t>, Vol. VI</w:t>
      </w:r>
      <w:r>
        <w:t>,</w:t>
      </w:r>
      <w:r w:rsidRPr="00A05575">
        <w:t xml:space="preserve"> cit., 288.</w:t>
      </w:r>
    </w:p>
  </w:footnote>
  <w:footnote w:id="22">
    <w:p w14:paraId="6C7CC50E" w14:textId="77777777" w:rsidR="003C19F1" w:rsidRPr="00A05575" w:rsidRDefault="003C19F1" w:rsidP="00CA0328">
      <w:pPr>
        <w:pStyle w:val="Testonotaapidipagina"/>
        <w:ind w:firstLine="454"/>
      </w:pPr>
      <w:r w:rsidRPr="00A05575">
        <w:rPr>
          <w:rStyle w:val="Rimandonotaapidipagina"/>
        </w:rPr>
        <w:footnoteRef/>
      </w:r>
      <w:r w:rsidRPr="00A05575">
        <w:t xml:space="preserve"> L’aggiotaggio annonario fu sostituito da alcune aggravanti ad effetto speciale, riportate nel terzo comma dello stesso articolo.</w:t>
      </w:r>
    </w:p>
  </w:footnote>
  <w:footnote w:id="23">
    <w:p w14:paraId="09A09610" w14:textId="77777777" w:rsidR="003C19F1" w:rsidRPr="00A05575" w:rsidRDefault="003C19F1" w:rsidP="00CA0328">
      <w:pPr>
        <w:pStyle w:val="Testonotaapidipagina"/>
        <w:ind w:firstLine="454"/>
      </w:pPr>
      <w:r w:rsidRPr="00A05575">
        <w:rPr>
          <w:rStyle w:val="Rimandonotaapidipagina"/>
        </w:rPr>
        <w:footnoteRef/>
      </w:r>
      <w:r w:rsidRPr="00A05575">
        <w:rPr>
          <w:i/>
          <w:iCs/>
          <w:color w:val="1A1A1A"/>
        </w:rPr>
        <w:t xml:space="preserve"> 2: Relazione sui Libri 2. e 3. del Progetto</w:t>
      </w:r>
      <w:r w:rsidRPr="00A05575">
        <w:rPr>
          <w:iCs/>
          <w:color w:val="1A1A1A"/>
        </w:rPr>
        <w:t>,</w:t>
      </w:r>
      <w:r w:rsidRPr="00A05575">
        <w:rPr>
          <w:i/>
          <w:iCs/>
          <w:color w:val="1A1A1A"/>
        </w:rPr>
        <w:t xml:space="preserve"> </w:t>
      </w:r>
      <w:r w:rsidRPr="00A05575">
        <w:rPr>
          <w:color w:val="1A1A1A"/>
        </w:rPr>
        <w:t>Roma</w:t>
      </w:r>
      <w:r>
        <w:rPr>
          <w:color w:val="1A1A1A"/>
        </w:rPr>
        <w:t>,</w:t>
      </w:r>
      <w:r w:rsidRPr="00A05575">
        <w:rPr>
          <w:color w:val="1A1A1A"/>
        </w:rPr>
        <w:t xml:space="preserve"> 1929, 284 e s.</w:t>
      </w:r>
    </w:p>
  </w:footnote>
  <w:footnote w:id="24">
    <w:p w14:paraId="70A98D8B" w14:textId="77777777" w:rsidR="003C19F1" w:rsidRPr="00A05575" w:rsidRDefault="003C19F1" w:rsidP="00CA0328">
      <w:pPr>
        <w:pStyle w:val="Testonotaapidipagina"/>
        <w:ind w:firstLine="454"/>
      </w:pPr>
      <w:r w:rsidRPr="00A05575">
        <w:rPr>
          <w:rStyle w:val="Rimandonotaapidipagina"/>
        </w:rPr>
        <w:footnoteRef/>
      </w:r>
      <w:r w:rsidRPr="00A05575">
        <w:t xml:space="preserve"> Il riferimento è all’articolo 5 r.d.l. 30 ottobre 1930, n. 1459, convertito, con modificazioni, nella l. 4 giugno 1931, n. 660, sostituito successivamente dall’articolo 2628 c.c. nella sua formulazione originaria, all’articolo 1 della l. 28 luglio 1939 n. 1097 e. Inoltre si rileva che il r.d.l. 12 marzo 1936, n. 375, convertito in legge dalla l. 7 marzo 1938, prevedeva la ulteriore fattispecie di aggiotaggio di tipo bancario.</w:t>
      </w:r>
    </w:p>
  </w:footnote>
  <w:footnote w:id="25">
    <w:p w14:paraId="33A8145E" w14:textId="739692EA" w:rsidR="003C19F1" w:rsidRPr="00A05575" w:rsidRDefault="003C19F1" w:rsidP="00CA0328">
      <w:pPr>
        <w:pStyle w:val="Testonotaapidipagina"/>
        <w:ind w:firstLine="454"/>
      </w:pPr>
      <w:r w:rsidRPr="00A05575">
        <w:t xml:space="preserve"> </w:t>
      </w:r>
      <w:r w:rsidRPr="00A05575">
        <w:rPr>
          <w:rStyle w:val="Rimandonotaapidipagina"/>
        </w:rPr>
        <w:footnoteRef/>
      </w:r>
      <w:r w:rsidRPr="00A05575">
        <w:t xml:space="preserve"> In particolare secondo Manzini l’artificio doveva essere comunque supportato da circostanze obiettive, oltre che dallo scopo dell’agente. Cfr. anche </w:t>
      </w:r>
      <w:r w:rsidRPr="00D52B7B">
        <w:rPr>
          <w:smallCaps/>
        </w:rPr>
        <w:t>Antolisei</w:t>
      </w:r>
      <w:r w:rsidRPr="00A05575">
        <w:t xml:space="preserve">, </w:t>
      </w:r>
      <w:r w:rsidRPr="00C8164B">
        <w:rPr>
          <w:i/>
        </w:rPr>
        <w:t>Manuale di diritto penale. Parte speciale</w:t>
      </w:r>
      <w:r w:rsidRPr="00A05575">
        <w:t xml:space="preserve">, II, 1954, 529; </w:t>
      </w:r>
      <w:r w:rsidRPr="00D52B7B">
        <w:rPr>
          <w:smallCaps/>
        </w:rPr>
        <w:t>Bellavista</w:t>
      </w:r>
      <w:r w:rsidRPr="00A05575">
        <w:t xml:space="preserve">, </w:t>
      </w:r>
      <w:r w:rsidRPr="00C8164B">
        <w:rPr>
          <w:i/>
        </w:rPr>
        <w:t>La tutela penale dell’economia corporativa</w:t>
      </w:r>
      <w:r w:rsidRPr="00A05575">
        <w:t>, Roma, 1936, 172.</w:t>
      </w:r>
    </w:p>
  </w:footnote>
  <w:footnote w:id="26">
    <w:p w14:paraId="52223230" w14:textId="77777777" w:rsidR="003C19F1" w:rsidRDefault="003C19F1" w:rsidP="00CA0328">
      <w:pPr>
        <w:pStyle w:val="Testonotaapidipagina"/>
        <w:ind w:firstLine="454"/>
      </w:pPr>
      <w:r>
        <w:rPr>
          <w:rStyle w:val="Rimandonotaapidipagina"/>
        </w:rPr>
        <w:footnoteRef/>
      </w:r>
      <w:r>
        <w:t xml:space="preserve"> Ci si riferisce al</w:t>
      </w:r>
      <w:r w:rsidRPr="00805E3A">
        <w:t>l’articolo 98 del r.d.l. 12 marzo 1936, n. 375</w:t>
      </w:r>
      <w:r>
        <w:t xml:space="preserve"> e al</w:t>
      </w:r>
      <w:r w:rsidRPr="00805E3A">
        <w:t>l’articolo 5 del r.d.l. 30 ottobre 1930,</w:t>
      </w:r>
      <w:r>
        <w:t xml:space="preserve"> n. 1459.</w:t>
      </w:r>
    </w:p>
  </w:footnote>
  <w:footnote w:id="27">
    <w:p w14:paraId="04EC45B1" w14:textId="6450B371" w:rsidR="003C19F1" w:rsidRPr="00A05575" w:rsidRDefault="003C19F1" w:rsidP="00CA0328">
      <w:pPr>
        <w:pStyle w:val="Testonotaapidipagina"/>
        <w:ind w:firstLine="454"/>
      </w:pPr>
      <w:r w:rsidRPr="00A05575">
        <w:rPr>
          <w:rStyle w:val="Rimandonotaapidipagina"/>
        </w:rPr>
        <w:footnoteRef/>
      </w:r>
      <w:r w:rsidRPr="00A05575">
        <w:t xml:space="preserve"> Cfr. </w:t>
      </w:r>
      <w:r w:rsidRPr="00931BDD">
        <w:rPr>
          <w:smallCaps/>
        </w:rPr>
        <w:t>Pedrazzi</w:t>
      </w:r>
      <w:r w:rsidRPr="00A05575">
        <w:t xml:space="preserve">, </w:t>
      </w:r>
      <w:r w:rsidRPr="00C8164B">
        <w:rPr>
          <w:i/>
        </w:rPr>
        <w:t>Turbativa dei mercati</w:t>
      </w:r>
      <w:r w:rsidRPr="00A05575">
        <w:t xml:space="preserve">, in </w:t>
      </w:r>
      <w:r w:rsidRPr="00C8164B">
        <w:rPr>
          <w:i/>
        </w:rPr>
        <w:t>Diritto penale, vol. IV Scritti di diritto penale dell’economia</w:t>
      </w:r>
      <w:r w:rsidRPr="00A05575">
        <w:t xml:space="preserve">, Milano, 2003, 125; ma ancora oggi </w:t>
      </w:r>
      <w:r w:rsidRPr="00A05575">
        <w:rPr>
          <w:i/>
        </w:rPr>
        <w:t xml:space="preserve">contra </w:t>
      </w:r>
      <w:r w:rsidRPr="00A05575">
        <w:t>Cass. pen. Sez. V, 20-01-2009, n. 2063.</w:t>
      </w:r>
    </w:p>
  </w:footnote>
  <w:footnote w:id="28">
    <w:p w14:paraId="773A3A24" w14:textId="487E699B"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Pedrazzi</w:t>
      </w:r>
      <w:r w:rsidRPr="00A05575">
        <w:t xml:space="preserve">, </w:t>
      </w:r>
      <w:r w:rsidRPr="00C8164B">
        <w:rPr>
          <w:i/>
        </w:rPr>
        <w:t>Turbativa dei mercati</w:t>
      </w:r>
      <w:r w:rsidRPr="00A05575">
        <w:t xml:space="preserve">, in </w:t>
      </w:r>
      <w:r w:rsidRPr="00C8164B">
        <w:rPr>
          <w:i/>
        </w:rPr>
        <w:t>Diritto penale, vol. IV Scritti di diritto penale dell’economia</w:t>
      </w:r>
      <w:r w:rsidRPr="00A05575">
        <w:t>, cit, 117.</w:t>
      </w:r>
    </w:p>
  </w:footnote>
  <w:footnote w:id="29">
    <w:p w14:paraId="0FD562AE" w14:textId="0A62D993" w:rsidR="003C19F1" w:rsidRPr="00A05575" w:rsidRDefault="003C19F1" w:rsidP="00CA0328">
      <w:pPr>
        <w:pStyle w:val="Testonotaapidipagina"/>
        <w:ind w:firstLine="454"/>
      </w:pPr>
      <w:r w:rsidRPr="00A05575">
        <w:rPr>
          <w:rStyle w:val="Rimandonotaapidipagina"/>
        </w:rPr>
        <w:footnoteRef/>
      </w:r>
      <w:r>
        <w:t xml:space="preserve"> Su tali punti vedi </w:t>
      </w:r>
      <w:r w:rsidRPr="00D52B7B">
        <w:rPr>
          <w:smallCaps/>
        </w:rPr>
        <w:t>Sinibaldi-Jannitti-Piromallo</w:t>
      </w:r>
      <w:r w:rsidRPr="00A05575">
        <w:t xml:space="preserve">, </w:t>
      </w:r>
      <w:r w:rsidRPr="00C8164B">
        <w:rPr>
          <w:i/>
        </w:rPr>
        <w:t>Esposizione critica della giurisprudenza sul Codice penale nel primo decennio della sua attuazione</w:t>
      </w:r>
      <w:r w:rsidRPr="00A05575">
        <w:t>, Milano, 1942, 485 e s</w:t>
      </w:r>
      <w:r>
        <w:t>., in nota</w:t>
      </w:r>
      <w:r w:rsidRPr="00A05575">
        <w:t>.</w:t>
      </w:r>
    </w:p>
  </w:footnote>
  <w:footnote w:id="30">
    <w:p w14:paraId="08375A65" w14:textId="6ADF3676"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Pedrazzi</w:t>
      </w:r>
      <w:r w:rsidRPr="00A05575">
        <w:t xml:space="preserve">, </w:t>
      </w:r>
      <w:r w:rsidRPr="00C8164B">
        <w:rPr>
          <w:i/>
        </w:rPr>
        <w:t>Turbativa dei mercati</w:t>
      </w:r>
      <w:r w:rsidRPr="00A05575">
        <w:t xml:space="preserve">, in </w:t>
      </w:r>
      <w:r w:rsidRPr="00C8164B">
        <w:rPr>
          <w:i/>
        </w:rPr>
        <w:t>Diritto penale, vol. IV Scritti di diritto penale dell’economia</w:t>
      </w:r>
      <w:r w:rsidRPr="00A05575">
        <w:t>, cit., 119.</w:t>
      </w:r>
    </w:p>
  </w:footnote>
  <w:footnote w:id="31">
    <w:p w14:paraId="4E939C79" w14:textId="0076973C" w:rsidR="003C19F1" w:rsidRDefault="003C19F1" w:rsidP="00CA0328">
      <w:pPr>
        <w:pStyle w:val="Testonotaapidipagina"/>
        <w:ind w:firstLine="454"/>
      </w:pPr>
      <w:r>
        <w:rPr>
          <w:rStyle w:val="Rimandonotaapidipagina"/>
        </w:rPr>
        <w:footnoteRef/>
      </w:r>
      <w:r>
        <w:t xml:space="preserve"> Già con riferimento a tale periodo </w:t>
      </w:r>
      <w:r w:rsidRPr="00D52B7B">
        <w:rPr>
          <w:smallCaps/>
        </w:rPr>
        <w:t>Magro</w:t>
      </w:r>
      <w:r w:rsidRPr="005C6D08">
        <w:t xml:space="preserve">, </w:t>
      </w:r>
      <w:r w:rsidRPr="005C6D08">
        <w:rPr>
          <w:i/>
          <w:iCs/>
        </w:rPr>
        <w:t xml:space="preserve">Art. 501, </w:t>
      </w:r>
      <w:r w:rsidRPr="005C6D08">
        <w:t>in</w:t>
      </w:r>
      <w:r w:rsidRPr="005C6D08">
        <w:rPr>
          <w:i/>
          <w:iCs/>
        </w:rPr>
        <w:t xml:space="preserve"> Trattato di diritto penale, </w:t>
      </w:r>
      <w:r w:rsidRPr="00D52B7B">
        <w:rPr>
          <w:smallCaps/>
        </w:rPr>
        <w:t>Cadoppi-Canestrari-Manna-Papa</w:t>
      </w:r>
      <w:r>
        <w:rPr>
          <w:smallCaps/>
        </w:rPr>
        <w:t xml:space="preserve"> (</w:t>
      </w:r>
      <w:r w:rsidRPr="00D52B7B">
        <w:t>a cura di</w:t>
      </w:r>
      <w:r>
        <w:rPr>
          <w:smallCaps/>
        </w:rPr>
        <w:t>)</w:t>
      </w:r>
      <w:r w:rsidRPr="005C6D08">
        <w:t>, vol. V, Torino, 2010, 680</w:t>
      </w:r>
      <w:r>
        <w:t>,</w:t>
      </w:r>
      <w:r w:rsidRPr="005C6D08">
        <w:t xml:space="preserve"> ne denuncia la scarsa applicazione e dunque la natura meramente simbolica legata alla sua evanescenza ed onnicomprensività, tanto da essere una </w:t>
      </w:r>
      <w:r>
        <w:rPr>
          <w:i/>
        </w:rPr>
        <w:t>«</w:t>
      </w:r>
      <w:r w:rsidRPr="005C6D08">
        <w:rPr>
          <w:i/>
        </w:rPr>
        <w:t>t</w:t>
      </w:r>
      <w:r w:rsidRPr="0090733C">
        <w:rPr>
          <w:i/>
        </w:rPr>
        <w:t>igre di carta</w:t>
      </w:r>
      <w:r>
        <w:rPr>
          <w:i/>
        </w:rPr>
        <w:t>»</w:t>
      </w:r>
      <w:r>
        <w:t>.</w:t>
      </w:r>
    </w:p>
  </w:footnote>
  <w:footnote w:id="32">
    <w:p w14:paraId="0FE6A840" w14:textId="77777777" w:rsidR="003C19F1" w:rsidRPr="00BD1AE3" w:rsidRDefault="003C19F1" w:rsidP="00CA0328">
      <w:pPr>
        <w:pStyle w:val="Testonotaapidipagina"/>
        <w:ind w:firstLine="454"/>
      </w:pPr>
      <w:r w:rsidRPr="00A05575">
        <w:rPr>
          <w:rStyle w:val="Rimandonotaapidipagina"/>
        </w:rPr>
        <w:footnoteRef/>
      </w:r>
      <w:r w:rsidRPr="00A05575">
        <w:t xml:space="preserve"> Per la giurisprudenza costituzionale si rimanda al secondo capitolo, dove si analizzerà puntualme</w:t>
      </w:r>
      <w:r w:rsidRPr="00BD1AE3">
        <w:t>nte l’attuale configurazione del reato.</w:t>
      </w:r>
    </w:p>
  </w:footnote>
  <w:footnote w:id="33">
    <w:p w14:paraId="1ED14E02" w14:textId="63E11D9B" w:rsidR="003C19F1" w:rsidRPr="00BD1AE3" w:rsidRDefault="003C19F1" w:rsidP="00CA0328">
      <w:pPr>
        <w:pStyle w:val="Testonotaapidipagina"/>
        <w:ind w:firstLine="454"/>
      </w:pPr>
      <w:r w:rsidRPr="00BD1AE3">
        <w:rPr>
          <w:rStyle w:val="Rimandonotaapidipagina"/>
        </w:rPr>
        <w:footnoteRef/>
      </w:r>
      <w:r w:rsidRPr="00BD1AE3">
        <w:t xml:space="preserve"> Vedi Cass. 5 maggio 1936, Smerdu, </w:t>
      </w:r>
      <w:r>
        <w:t xml:space="preserve">in </w:t>
      </w:r>
      <w:r w:rsidRPr="00C8164B">
        <w:rPr>
          <w:i/>
        </w:rPr>
        <w:t>Giust. pen.</w:t>
      </w:r>
      <w:r>
        <w:t>,</w:t>
      </w:r>
      <w:r w:rsidRPr="00BD1AE3">
        <w:t xml:space="preserve"> 1937, II, 509. Ci sembra significativo riportare i passaggi della pronuncia in cui si analizza la </w:t>
      </w:r>
      <w:r>
        <w:t>condotta</w:t>
      </w:r>
      <w:r w:rsidRPr="00BD1AE3">
        <w:t xml:space="preserve"> del nuovo 501 c.p., anche in relazione con l'art. 295 del Codice Zanardelli: </w:t>
      </w:r>
      <w:r>
        <w:rPr>
          <w:i/>
        </w:rPr>
        <w:t>«</w:t>
      </w:r>
      <w:r w:rsidRPr="00BD1AE3">
        <w:rPr>
          <w:i/>
        </w:rPr>
        <w:t>L’art. 501 ha una complessa formulazione, che raccoglie più ipotesi di una vastissima attività, che è enunciata nella sintesi del rialzo e del ribasso fraudolento dei prezzi sul pubblico merc</w:t>
      </w:r>
      <w:r>
        <w:rPr>
          <w:i/>
        </w:rPr>
        <w:t>ato e nelle borse di commercio.</w:t>
      </w:r>
      <w:r w:rsidRPr="00BD1AE3">
        <w:rPr>
          <w:i/>
        </w:rPr>
        <w:t xml:space="preserve"> Nella sua nozione fondamentale, enunciata nella prima parte, è reato di pericolo, quindi è indicato un turbamento che si estrinseca nelle due forme prevedute: pubblicazione e divulgazione di notizie false, esagerate e tendenziose, ed altri artifici atti a cagionare, per restringere l’indagine al caso, aumento o diminuzione del prezzo delle merci. Questa è la materia del reato, che s’integra in una manifestazione di cause dirette a produrre un effetto senza che occorra che questo sia raggiunto. Lo spirito è, da un lato, elemento della responsabilità per dolo, la coscienza e la volontà nel fatto delle notizie (l’artificio, la cui potenzialità a produrre l’evento dannoso è ritenuta dalla legge e non ha bisogno di essere dimostrata) od in un altro fatto, che deve avere in sé come un fermento, la forza di nuocere, da provare </w:t>
      </w:r>
      <w:r>
        <w:rPr>
          <w:i/>
        </w:rPr>
        <w:t>caso per caso; dall’altro, è un</w:t>
      </w:r>
      <w:r w:rsidRPr="00BD1AE3">
        <w:rPr>
          <w:i/>
        </w:rPr>
        <w:t xml:space="preserve"> di più che consiste nella spinta, il movente. Quindi prima ricerca è quella dell’espresso fine di turbare il mercato interno delle merci. Materia e spirito, entrambi, nel rapporto di casualità, sono retti dal principio, in questa indagine sensibilissimo, del concorso delle cause; queste, siano esse preesistenti o simultanee od infine sopravvenute, </w:t>
      </w:r>
      <w:r>
        <w:rPr>
          <w:i/>
        </w:rPr>
        <w:t>anche se indipendenti dall’azione od omissione del colpevole, non escludono quel rapporto, art. 41 c.p. Se in verità, nella prima elaborazione, si finì per togliere dalla progettata pima formulazione l’inciso «anche in concorso di altre cause», col quale si intendeva risolvere un punto essenziale contro l’indirizzo della giurisprudenza, che interpretava l’art. 295 codice abrogato escludendo il reato quando il preveduto fenomeno del fittizio rialzo o ribasso dei prezzi fosse derivato dalle cause diverse, e cioè le particolari condizioni storiche o gli infiniti elementi che influiscono sul mercato, si spiegò, però ,che, pur non essendosi voluta creare un figura eccezionale di responsabilità oggettiva, come l’inciso avrebbe potuto far pensare, ed in deroga alla esclusione di tale rapporto, quando cause sopravvenute siano da sole sufficienti a determinare l’evento, doveva bastare il principio generale sul concorso, che qui aveva il maggior rilievo, per assicurare la pratica efficacia della disposizione riguardante la speciale figura del delitto del titolo ottavo. Il mercato, sia dei valori sia delle merci, è dei traffici la vita squisitamente sensibile, tutta esposta ad essere impressionata, quindi risente con i suoi moti vibratori tutte le apprensioni, tutti i turbamenti della collettività di una nazione, da considerare non soltanto in questa vasta unitaria concezione, ma in ognuno dei nuclei diversi che la compongono, di guisa che, come un fatto turbativo in esso si determina, il moto si propaga da minore a più vasto cerchio, e sorge per infinite gradazioni di pericolo, che la legge perciò vuole sia apprezzato, in concreto, con un criterio di relatività che si misura da condizioni contingenti</w:t>
      </w:r>
      <w:r w:rsidRPr="00BD1AE3">
        <w:t>.</w:t>
      </w:r>
    </w:p>
  </w:footnote>
  <w:footnote w:id="34">
    <w:p w14:paraId="5EAA6363" w14:textId="77777777" w:rsidR="003C19F1" w:rsidRPr="00BD1AE3" w:rsidRDefault="003C19F1" w:rsidP="00CA0328">
      <w:pPr>
        <w:pStyle w:val="Testonotaapidipagina"/>
        <w:ind w:firstLine="454"/>
      </w:pPr>
      <w:r w:rsidRPr="00BD1AE3">
        <w:rPr>
          <w:rStyle w:val="Rimandonotaapidipagina"/>
        </w:rPr>
        <w:footnoteRef/>
      </w:r>
      <w:r w:rsidRPr="00BD1AE3">
        <w:t xml:space="preserve"> A tale impostazione aderisce pure, successivamente ed in un caso del tutto simile, Cass., sez. VI, 28 settembre 1979, </w:t>
      </w:r>
      <w:r w:rsidRPr="00AA57DC">
        <w:rPr>
          <w:smallCaps/>
        </w:rPr>
        <w:t>Pazzola</w:t>
      </w:r>
      <w:r w:rsidRPr="00BD1AE3">
        <w:t>,</w:t>
      </w:r>
      <w:r>
        <w:t xml:space="preserve"> in</w:t>
      </w:r>
      <w:r w:rsidRPr="00BD1AE3">
        <w:t xml:space="preserve"> </w:t>
      </w:r>
      <w:r w:rsidRPr="00C8164B">
        <w:rPr>
          <w:i/>
        </w:rPr>
        <w:t>Foro it.</w:t>
      </w:r>
      <w:r>
        <w:t>,</w:t>
      </w:r>
      <w:r w:rsidRPr="00BD1AE3">
        <w:t xml:space="preserve"> 1980, II, 313, con nota adesiva di Mazzacuva.</w:t>
      </w:r>
    </w:p>
  </w:footnote>
  <w:footnote w:id="35">
    <w:p w14:paraId="49B3C3CD" w14:textId="31024B2F" w:rsidR="003C19F1" w:rsidRPr="00BD1AE3" w:rsidRDefault="003C19F1" w:rsidP="00CA0328">
      <w:pPr>
        <w:pStyle w:val="Testonotaapidipagina"/>
        <w:ind w:firstLine="454"/>
      </w:pPr>
      <w:r w:rsidRPr="00BD1AE3">
        <w:rPr>
          <w:rStyle w:val="Rimandonotaapidipagina"/>
        </w:rPr>
        <w:footnoteRef/>
      </w:r>
      <w:r>
        <w:t xml:space="preserve"> </w:t>
      </w:r>
      <w:r w:rsidRPr="00D52B7B">
        <w:rPr>
          <w:smallCaps/>
        </w:rPr>
        <w:t>Antolisei</w:t>
      </w:r>
      <w:r w:rsidRPr="00BD1AE3">
        <w:t xml:space="preserve">, </w:t>
      </w:r>
      <w:r w:rsidRPr="00C8164B">
        <w:rPr>
          <w:i/>
        </w:rPr>
        <w:t>Manuale di diritto penale</w:t>
      </w:r>
      <w:r>
        <w:rPr>
          <w:i/>
        </w:rPr>
        <w:t>.</w:t>
      </w:r>
      <w:r w:rsidRPr="00C8164B">
        <w:rPr>
          <w:i/>
        </w:rPr>
        <w:t xml:space="preserve"> </w:t>
      </w:r>
      <w:r>
        <w:rPr>
          <w:i/>
        </w:rPr>
        <w:t>P</w:t>
      </w:r>
      <w:r w:rsidRPr="00C8164B">
        <w:rPr>
          <w:i/>
        </w:rPr>
        <w:t>arte speciale</w:t>
      </w:r>
      <w:r w:rsidRPr="00BD1AE3">
        <w:t>, II, Milano, 1982, 651.</w:t>
      </w:r>
    </w:p>
  </w:footnote>
  <w:footnote w:id="36">
    <w:p w14:paraId="106B6C76" w14:textId="77777777" w:rsidR="003C19F1" w:rsidRPr="00A05575" w:rsidRDefault="003C19F1" w:rsidP="00CA0328">
      <w:pPr>
        <w:pStyle w:val="Testonotaapidipagina"/>
        <w:ind w:firstLine="454"/>
      </w:pPr>
      <w:r w:rsidRPr="00BD1AE3">
        <w:rPr>
          <w:rStyle w:val="Rimandonotaapidipagina"/>
        </w:rPr>
        <w:footnoteRef/>
      </w:r>
      <w:r w:rsidRPr="00BD1AE3">
        <w:t xml:space="preserve"> Cfr. sempre Ca</w:t>
      </w:r>
      <w:r w:rsidRPr="00A05575">
        <w:t>ss. 5 maggio 1936, Smerdu, cit.</w:t>
      </w:r>
    </w:p>
  </w:footnote>
  <w:footnote w:id="37">
    <w:p w14:paraId="042CAE4E" w14:textId="77777777" w:rsidR="003C19F1" w:rsidRPr="00A05575" w:rsidRDefault="003C19F1" w:rsidP="00CA0328">
      <w:pPr>
        <w:pStyle w:val="Testonotaapidipagina"/>
        <w:ind w:firstLine="454"/>
      </w:pPr>
      <w:r w:rsidRPr="00A05575">
        <w:rPr>
          <w:rStyle w:val="Rimandonotaapidipagina"/>
        </w:rPr>
        <w:footnoteRef/>
      </w:r>
      <w:r w:rsidRPr="00A05575">
        <w:t xml:space="preserve"> Cass. 21 dicembre 1938, Manca,</w:t>
      </w:r>
      <w:r>
        <w:t xml:space="preserve"> in</w:t>
      </w:r>
      <w:r w:rsidRPr="00A05575">
        <w:t xml:space="preserve"> </w:t>
      </w:r>
      <w:r w:rsidRPr="001C21CD">
        <w:rPr>
          <w:i/>
        </w:rPr>
        <w:t>Giust. pen.</w:t>
      </w:r>
      <w:r w:rsidRPr="00A05575">
        <w:t>, 1938, II, 412.</w:t>
      </w:r>
    </w:p>
  </w:footnote>
  <w:footnote w:id="38">
    <w:p w14:paraId="4127AC18" w14:textId="77777777" w:rsidR="003C19F1" w:rsidRPr="00A05575" w:rsidRDefault="003C19F1" w:rsidP="00CA0328">
      <w:pPr>
        <w:pStyle w:val="Testonotaapidipagina"/>
        <w:ind w:firstLine="454"/>
      </w:pPr>
      <w:r w:rsidRPr="00A05575">
        <w:rPr>
          <w:rStyle w:val="Rimandonotaapidipagina"/>
        </w:rPr>
        <w:footnoteRef/>
      </w:r>
      <w:r w:rsidRPr="00A05575">
        <w:t xml:space="preserve"> Vedi però </w:t>
      </w:r>
      <w:r w:rsidRPr="00A05575">
        <w:rPr>
          <w:bCs/>
        </w:rPr>
        <w:t>Cass. pen., 9</w:t>
      </w:r>
      <w:r>
        <w:rPr>
          <w:bCs/>
        </w:rPr>
        <w:t xml:space="preserve"> luglio </w:t>
      </w:r>
      <w:r w:rsidRPr="00A05575">
        <w:rPr>
          <w:bCs/>
        </w:rPr>
        <w:t xml:space="preserve">1980, Crivellaro, </w:t>
      </w:r>
      <w:r>
        <w:t>in</w:t>
      </w:r>
      <w:r w:rsidRPr="00A05575">
        <w:t xml:space="preserve"> </w:t>
      </w:r>
      <w:r w:rsidRPr="001C21CD">
        <w:rPr>
          <w:i/>
        </w:rPr>
        <w:t>Giust. pen</w:t>
      </w:r>
      <w:r w:rsidRPr="00A05575">
        <w:t>, 1981, II, 259.</w:t>
      </w:r>
    </w:p>
  </w:footnote>
  <w:footnote w:id="39">
    <w:p w14:paraId="2A01F2AE" w14:textId="77777777" w:rsidR="003C19F1" w:rsidRPr="00A05575" w:rsidRDefault="003C19F1" w:rsidP="00CA0328">
      <w:pPr>
        <w:pStyle w:val="Testonotaapidipagina"/>
        <w:ind w:firstLine="454"/>
      </w:pPr>
      <w:r w:rsidRPr="00A05575">
        <w:rPr>
          <w:rStyle w:val="Rimandonotaapidipagina"/>
        </w:rPr>
        <w:footnoteRef/>
      </w:r>
      <w:r w:rsidRPr="00A05575">
        <w:t xml:space="preserve"> In tal senso </w:t>
      </w:r>
      <w:r w:rsidRPr="00AA57DC">
        <w:rPr>
          <w:smallCaps/>
        </w:rPr>
        <w:t>Vinciguerra</w:t>
      </w:r>
      <w:r w:rsidRPr="00A05575">
        <w:t xml:space="preserve">, </w:t>
      </w:r>
      <w:r w:rsidRPr="001C21CD">
        <w:rPr>
          <w:i/>
        </w:rPr>
        <w:t>Problemi attuali del diritto penale dell’economia</w:t>
      </w:r>
      <w:r w:rsidRPr="00A05575">
        <w:t xml:space="preserve">, in </w:t>
      </w:r>
      <w:r w:rsidRPr="001C21CD">
        <w:rPr>
          <w:i/>
        </w:rPr>
        <w:t>Rass. Giur. Enel</w:t>
      </w:r>
      <w:r>
        <w:rPr>
          <w:i/>
        </w:rPr>
        <w:t>,</w:t>
      </w:r>
      <w:r w:rsidRPr="00A05575">
        <w:t xml:space="preserve"> 1982, 433 e ss.</w:t>
      </w:r>
    </w:p>
  </w:footnote>
  <w:footnote w:id="40">
    <w:p w14:paraId="27C7CE83" w14:textId="77777777" w:rsidR="003C19F1" w:rsidRPr="00A05575" w:rsidRDefault="003C19F1" w:rsidP="00CA0328">
      <w:pPr>
        <w:pStyle w:val="Testonotaapidipagina"/>
        <w:ind w:firstLine="454"/>
      </w:pPr>
      <w:r w:rsidRPr="00A05575">
        <w:rPr>
          <w:rStyle w:val="Rimandonotaapidipagina"/>
        </w:rPr>
        <w:footnoteRef/>
      </w:r>
      <w:r w:rsidRPr="00A05575">
        <w:t xml:space="preserve"> Cass., sez. VI, 13 novembre 1980, Costa, </w:t>
      </w:r>
      <w:r>
        <w:t>in</w:t>
      </w:r>
      <w:r w:rsidRPr="00A05575">
        <w:t xml:space="preserve"> </w:t>
      </w:r>
      <w:r w:rsidRPr="001C21CD">
        <w:rPr>
          <w:i/>
        </w:rPr>
        <w:t>Giust. pen</w:t>
      </w:r>
      <w:r>
        <w:rPr>
          <w:i/>
        </w:rPr>
        <w:t>.,</w:t>
      </w:r>
      <w:r w:rsidRPr="00A05575">
        <w:t xml:space="preserve"> 1981, II, 129.</w:t>
      </w:r>
    </w:p>
  </w:footnote>
  <w:footnote w:id="41">
    <w:p w14:paraId="374A2E23" w14:textId="77777777" w:rsidR="003C19F1" w:rsidRPr="00A05575" w:rsidRDefault="003C19F1" w:rsidP="00CA0328">
      <w:pPr>
        <w:pStyle w:val="Testonotaapidipagina"/>
        <w:ind w:firstLine="454"/>
      </w:pPr>
      <w:r w:rsidRPr="00A05575">
        <w:rPr>
          <w:rStyle w:val="Rimandonotaapidipagina"/>
        </w:rPr>
        <w:footnoteRef/>
      </w:r>
      <w:r w:rsidRPr="00A05575">
        <w:t xml:space="preserve"> Assise Roma, 19 dicembre 1962, Polimeni, </w:t>
      </w:r>
      <w:r>
        <w:t>in</w:t>
      </w:r>
      <w:r w:rsidRPr="00A05575">
        <w:t xml:space="preserve"> </w:t>
      </w:r>
      <w:r w:rsidRPr="001C21CD">
        <w:rPr>
          <w:i/>
        </w:rPr>
        <w:t>Giust. pen</w:t>
      </w:r>
      <w:r>
        <w:rPr>
          <w:i/>
        </w:rPr>
        <w:t>.,</w:t>
      </w:r>
      <w:r w:rsidRPr="00A05575">
        <w:t xml:space="preserve"> 1964, II, 822.</w:t>
      </w:r>
    </w:p>
  </w:footnote>
  <w:footnote w:id="42">
    <w:p w14:paraId="33D8D78C" w14:textId="03F89CAD" w:rsidR="003C19F1" w:rsidRDefault="003C19F1" w:rsidP="00CA0328">
      <w:pPr>
        <w:pStyle w:val="Testonotaapidipagina"/>
        <w:ind w:firstLine="454"/>
      </w:pPr>
      <w:r>
        <w:rPr>
          <w:rStyle w:val="Rimandonotaapidipagina"/>
        </w:rPr>
        <w:footnoteRef/>
      </w:r>
      <w:r>
        <w:t xml:space="preserve"> Cfr. </w:t>
      </w:r>
      <w:r w:rsidRPr="00D52B7B">
        <w:rPr>
          <w:smallCaps/>
        </w:rPr>
        <w:t>Sinibaldi-Jannitti-Piromallo</w:t>
      </w:r>
      <w:r w:rsidRPr="00A05575">
        <w:t xml:space="preserve">, </w:t>
      </w:r>
      <w:r w:rsidRPr="001C21CD">
        <w:rPr>
          <w:i/>
        </w:rPr>
        <w:t>Esposizione critica della giurisprudenza sul Codice penale nel primo decennio della sua attuazione</w:t>
      </w:r>
      <w:r w:rsidRPr="00A05575">
        <w:t xml:space="preserve">, </w:t>
      </w:r>
      <w:r>
        <w:t>cit.</w:t>
      </w:r>
      <w:r w:rsidRPr="00A05575">
        <w:t>, 48</w:t>
      </w:r>
      <w:r>
        <w:t>6, in nota.</w:t>
      </w:r>
    </w:p>
  </w:footnote>
  <w:footnote w:id="43">
    <w:p w14:paraId="20D1DFBE" w14:textId="35C87236" w:rsidR="003C19F1" w:rsidRPr="00A05575" w:rsidRDefault="003C19F1" w:rsidP="00CA0328">
      <w:pPr>
        <w:pStyle w:val="Testonotaapidipagina"/>
        <w:ind w:firstLine="454"/>
      </w:pPr>
      <w:r w:rsidRPr="00A05575">
        <w:rPr>
          <w:rStyle w:val="Rimandonotaapidipagina"/>
        </w:rPr>
        <w:footnoteRef/>
      </w:r>
      <w:r w:rsidRPr="00A05575">
        <w:t xml:space="preserve"> </w:t>
      </w:r>
      <w:r w:rsidRPr="00AA57DC">
        <w:rPr>
          <w:smallCaps/>
        </w:rPr>
        <w:t>Mazzacuva</w:t>
      </w:r>
      <w:r w:rsidRPr="00A05575">
        <w:t xml:space="preserve">, </w:t>
      </w:r>
      <w:r w:rsidRPr="001C21CD">
        <w:rPr>
          <w:i/>
        </w:rPr>
        <w:t>Sull’elemento oggettivo del delitto di aggiotaggio</w:t>
      </w:r>
      <w:r w:rsidRPr="00A05575">
        <w:t xml:space="preserve">, in </w:t>
      </w:r>
      <w:r w:rsidRPr="001C21CD">
        <w:rPr>
          <w:i/>
        </w:rPr>
        <w:t>Foro it.</w:t>
      </w:r>
      <w:r>
        <w:t>,</w:t>
      </w:r>
      <w:r w:rsidRPr="00A05575">
        <w:t xml:space="preserve"> 1980, II, 313 e ss.</w:t>
      </w:r>
    </w:p>
  </w:footnote>
  <w:footnote w:id="44">
    <w:p w14:paraId="2E81333F" w14:textId="520B692D" w:rsidR="003C19F1" w:rsidRPr="00A05575" w:rsidRDefault="003C19F1" w:rsidP="00CA0328">
      <w:pPr>
        <w:pStyle w:val="Testonotaapidipagina"/>
        <w:ind w:firstLine="454"/>
      </w:pPr>
      <w:r w:rsidRPr="00A05575">
        <w:rPr>
          <w:rStyle w:val="Rimandonotaapidipagina"/>
        </w:rPr>
        <w:footnoteRef/>
      </w:r>
      <w:r w:rsidRPr="00A05575">
        <w:t xml:space="preserve"> </w:t>
      </w:r>
      <w:r w:rsidRPr="00AA57DC">
        <w:rPr>
          <w:smallCaps/>
        </w:rPr>
        <w:t>La Cute</w:t>
      </w:r>
      <w:r w:rsidRPr="00A05575">
        <w:t xml:space="preserve">, </w:t>
      </w:r>
      <w:r w:rsidRPr="001C21CD">
        <w:rPr>
          <w:i/>
        </w:rPr>
        <w:t>Aggiotaggio immobiliare</w:t>
      </w:r>
      <w:r w:rsidRPr="00A05575">
        <w:t xml:space="preserve">, in </w:t>
      </w:r>
      <w:r w:rsidRPr="001C21CD">
        <w:rPr>
          <w:i/>
        </w:rPr>
        <w:t>Giur</w:t>
      </w:r>
      <w:r>
        <w:rPr>
          <w:i/>
        </w:rPr>
        <w:t>.</w:t>
      </w:r>
      <w:r w:rsidRPr="001C21CD">
        <w:rPr>
          <w:i/>
        </w:rPr>
        <w:t xml:space="preserve"> merito</w:t>
      </w:r>
      <w:r>
        <w:rPr>
          <w:i/>
        </w:rPr>
        <w:t>,</w:t>
      </w:r>
      <w:r w:rsidRPr="00A05575">
        <w:t xml:space="preserve"> 1979, II, 938 e ss.</w:t>
      </w:r>
    </w:p>
  </w:footnote>
  <w:footnote w:id="45">
    <w:p w14:paraId="2D97CCB5" w14:textId="04797030" w:rsidR="003C19F1" w:rsidRPr="00A05575" w:rsidRDefault="003C19F1" w:rsidP="00CA0328">
      <w:pPr>
        <w:pStyle w:val="Testonotaapidipagina"/>
        <w:ind w:firstLine="454"/>
      </w:pPr>
      <w:r w:rsidRPr="00A05575">
        <w:rPr>
          <w:rStyle w:val="Rimandonotaapidipagina"/>
        </w:rPr>
        <w:footnoteRef/>
      </w:r>
      <w:r>
        <w:t xml:space="preserve"> </w:t>
      </w:r>
      <w:r w:rsidRPr="00D52B7B">
        <w:rPr>
          <w:smallCaps/>
        </w:rPr>
        <w:t>Antolisei</w:t>
      </w:r>
      <w:r w:rsidRPr="00A05575">
        <w:t xml:space="preserve">, </w:t>
      </w:r>
      <w:r>
        <w:rPr>
          <w:i/>
        </w:rPr>
        <w:t>Manuale di diritto penale. P</w:t>
      </w:r>
      <w:r w:rsidRPr="001C21CD">
        <w:rPr>
          <w:i/>
        </w:rPr>
        <w:t>arte speciale</w:t>
      </w:r>
      <w:r w:rsidRPr="00A05575">
        <w:t>, II, cit., 649.</w:t>
      </w:r>
    </w:p>
  </w:footnote>
  <w:footnote w:id="46">
    <w:p w14:paraId="339506E8" w14:textId="77777777" w:rsidR="003C19F1" w:rsidRPr="00A05575" w:rsidRDefault="003C19F1" w:rsidP="00CA0328">
      <w:pPr>
        <w:pStyle w:val="Testonotaapidipagina"/>
        <w:ind w:firstLine="454"/>
      </w:pPr>
      <w:r w:rsidRPr="00A05575">
        <w:rPr>
          <w:rStyle w:val="Rimandonotaapidipagina"/>
        </w:rPr>
        <w:footnoteRef/>
      </w:r>
      <w:r w:rsidRPr="00A05575">
        <w:t xml:space="preserve"> App. Genova, 2 luglio 1965, Gualco e altro,</w:t>
      </w:r>
      <w:r>
        <w:t xml:space="preserve"> in</w:t>
      </w:r>
      <w:r w:rsidRPr="00A05575">
        <w:t xml:space="preserve"> </w:t>
      </w:r>
      <w:r w:rsidRPr="001C21CD">
        <w:rPr>
          <w:i/>
        </w:rPr>
        <w:t>Giur. it.</w:t>
      </w:r>
      <w:r>
        <w:t>,</w:t>
      </w:r>
      <w:r w:rsidRPr="00A05575">
        <w:t xml:space="preserve"> 1966, II, 20.</w:t>
      </w:r>
    </w:p>
  </w:footnote>
  <w:footnote w:id="47">
    <w:p w14:paraId="7736D33C" w14:textId="77777777" w:rsidR="003C19F1" w:rsidRPr="00A05575" w:rsidRDefault="003C19F1" w:rsidP="00CA0328">
      <w:pPr>
        <w:pStyle w:val="Testonotaapidipagina"/>
        <w:ind w:firstLine="454"/>
      </w:pPr>
      <w:r w:rsidRPr="00A05575">
        <w:rPr>
          <w:rStyle w:val="Rimandonotaapidipagina"/>
        </w:rPr>
        <w:footnoteRef/>
      </w:r>
      <w:r w:rsidRPr="00A05575">
        <w:t xml:space="preserve"> Cass., sez. VI, 10 maggio 1976, Salamone,</w:t>
      </w:r>
      <w:r>
        <w:t xml:space="preserve"> in</w:t>
      </w:r>
      <w:r w:rsidRPr="001C21CD">
        <w:rPr>
          <w:i/>
        </w:rPr>
        <w:t xml:space="preserve"> Cass. pen. Mass. ann.</w:t>
      </w:r>
      <w:r>
        <w:t>,</w:t>
      </w:r>
      <w:r w:rsidRPr="00A05575">
        <w:t xml:space="preserve"> 1977, 1147.</w:t>
      </w:r>
    </w:p>
  </w:footnote>
  <w:footnote w:id="48">
    <w:p w14:paraId="0D52A6A7" w14:textId="77777777" w:rsidR="003C19F1" w:rsidRPr="00A05575" w:rsidRDefault="003C19F1" w:rsidP="00CA0328">
      <w:pPr>
        <w:pStyle w:val="Testonotaapidipagina"/>
        <w:ind w:firstLine="454"/>
      </w:pPr>
      <w:r w:rsidRPr="00A05575">
        <w:rPr>
          <w:rStyle w:val="Rimandonotaapidipagina"/>
        </w:rPr>
        <w:footnoteRef/>
      </w:r>
      <w:r w:rsidRPr="00A05575">
        <w:t xml:space="preserve"> Pret. Roma, 13 aprile 1989, Danesi, </w:t>
      </w:r>
      <w:r>
        <w:t xml:space="preserve">in </w:t>
      </w:r>
      <w:r w:rsidRPr="001C21CD">
        <w:rPr>
          <w:i/>
        </w:rPr>
        <w:t>Giust. civ.</w:t>
      </w:r>
      <w:r>
        <w:t>,</w:t>
      </w:r>
      <w:r w:rsidRPr="00A05575">
        <w:t xml:space="preserve"> 1989, 1461</w:t>
      </w:r>
    </w:p>
  </w:footnote>
  <w:footnote w:id="49">
    <w:p w14:paraId="36CFFFE7" w14:textId="77777777" w:rsidR="003C19F1" w:rsidRPr="00A05575" w:rsidRDefault="003C19F1" w:rsidP="00CA0328">
      <w:pPr>
        <w:pStyle w:val="Testonotaapidipagina"/>
        <w:ind w:firstLine="454"/>
      </w:pPr>
      <w:r w:rsidRPr="00A05575">
        <w:rPr>
          <w:rStyle w:val="Rimandonotaapidipagina"/>
        </w:rPr>
        <w:footnoteRef/>
      </w:r>
      <w:r w:rsidRPr="00A05575">
        <w:t xml:space="preserve"> Cass. 5 maggio 1936, Smerdu, cit.</w:t>
      </w:r>
    </w:p>
  </w:footnote>
  <w:footnote w:id="50">
    <w:p w14:paraId="64991356" w14:textId="1E733BE4" w:rsidR="003C19F1" w:rsidRPr="00A05575" w:rsidRDefault="003C19F1" w:rsidP="00CA0328">
      <w:pPr>
        <w:pStyle w:val="Testonotaapidipagina"/>
        <w:ind w:firstLine="454"/>
      </w:pPr>
      <w:r w:rsidRPr="00A05575">
        <w:rPr>
          <w:rStyle w:val="Rimandonotaapidipagina"/>
        </w:rPr>
        <w:footnoteRef/>
      </w:r>
      <w:r w:rsidRPr="00A05575">
        <w:t xml:space="preserve"> Assise Roma, 19 dicembre 1962, Polimeni, cit.; a tal prop</w:t>
      </w:r>
      <w:r>
        <w:t xml:space="preserve">osito in dottrina cfr. anche </w:t>
      </w:r>
      <w:r w:rsidRPr="00D52B7B">
        <w:rPr>
          <w:smallCaps/>
        </w:rPr>
        <w:t>Antolisei</w:t>
      </w:r>
      <w:r w:rsidRPr="00A05575">
        <w:t xml:space="preserve">, </w:t>
      </w:r>
      <w:r>
        <w:rPr>
          <w:i/>
        </w:rPr>
        <w:t>Manuale di diritto penale. P</w:t>
      </w:r>
      <w:r w:rsidRPr="001C21CD">
        <w:rPr>
          <w:i/>
        </w:rPr>
        <w:t>arte speciale II</w:t>
      </w:r>
      <w:r>
        <w:t xml:space="preserve">, Milano, 1960; </w:t>
      </w:r>
      <w:r w:rsidRPr="00931BDD">
        <w:rPr>
          <w:smallCaps/>
        </w:rPr>
        <w:t>Manzini</w:t>
      </w:r>
      <w:r w:rsidRPr="00A05575">
        <w:t xml:space="preserve">, </w:t>
      </w:r>
      <w:r w:rsidRPr="001C21CD">
        <w:rPr>
          <w:i/>
        </w:rPr>
        <w:t>Trattato di diritto penale italiano</w:t>
      </w:r>
      <w:r w:rsidRPr="00A05575">
        <w:t>, vol. VII, Torino 1963, 34, 42.</w:t>
      </w:r>
    </w:p>
  </w:footnote>
  <w:footnote w:id="51">
    <w:p w14:paraId="5F87C2F3" w14:textId="4128DEDC" w:rsidR="003C19F1" w:rsidRDefault="003C19F1" w:rsidP="00CA0328">
      <w:pPr>
        <w:pStyle w:val="Testonotaapidipagina"/>
        <w:ind w:firstLine="454"/>
      </w:pPr>
      <w:r>
        <w:rPr>
          <w:rStyle w:val="Rimandonotaapidipagina"/>
        </w:rPr>
        <w:footnoteRef/>
      </w:r>
      <w:r>
        <w:t xml:space="preserve"> </w:t>
      </w:r>
      <w:r w:rsidRPr="00D52B7B">
        <w:rPr>
          <w:smallCaps/>
        </w:rPr>
        <w:t>Sinibaldi-Jannitti-Piromallo</w:t>
      </w:r>
      <w:r w:rsidRPr="00A05575">
        <w:t xml:space="preserve">, </w:t>
      </w:r>
      <w:r w:rsidRPr="001C21CD">
        <w:rPr>
          <w:i/>
        </w:rPr>
        <w:t>Esposizione critica della giurisprudenza sul Codice penale nel primo decennio della sua attuazione</w:t>
      </w:r>
      <w:r w:rsidRPr="00A05575">
        <w:t xml:space="preserve">, </w:t>
      </w:r>
      <w:r>
        <w:t>cit.</w:t>
      </w:r>
      <w:r w:rsidRPr="00A05575">
        <w:t>, 48</w:t>
      </w:r>
      <w:r>
        <w:t>6</w:t>
      </w:r>
      <w:r w:rsidRPr="00A05575">
        <w:t>.</w:t>
      </w:r>
    </w:p>
  </w:footnote>
  <w:footnote w:id="52">
    <w:p w14:paraId="764ED604" w14:textId="0095CEC1" w:rsidR="003C19F1" w:rsidRPr="002F7EC3" w:rsidRDefault="003C19F1" w:rsidP="00CA0328">
      <w:pPr>
        <w:widowControl w:val="0"/>
        <w:autoSpaceDE w:val="0"/>
        <w:autoSpaceDN w:val="0"/>
        <w:adjustRightInd w:val="0"/>
        <w:ind w:firstLine="454"/>
        <w:rPr>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Corte cost. 23 marzo 1983 n. 73,</w:t>
      </w:r>
      <w:r>
        <w:rPr>
          <w:rFonts w:cs="Times New Roman"/>
          <w:sz w:val="20"/>
          <w:szCs w:val="20"/>
        </w:rPr>
        <w:t xml:space="preserve"> in</w:t>
      </w:r>
      <w:r w:rsidRPr="00A05575">
        <w:rPr>
          <w:rFonts w:cs="Times New Roman"/>
          <w:sz w:val="20"/>
          <w:szCs w:val="20"/>
        </w:rPr>
        <w:t xml:space="preserve"> </w:t>
      </w:r>
      <w:r w:rsidRPr="005E0DB4">
        <w:rPr>
          <w:rFonts w:cs="Times New Roman"/>
          <w:i/>
          <w:sz w:val="20"/>
          <w:szCs w:val="20"/>
        </w:rPr>
        <w:t>Foro it.</w:t>
      </w:r>
      <w:r>
        <w:rPr>
          <w:rFonts w:cs="Times New Roman"/>
          <w:sz w:val="20"/>
          <w:szCs w:val="20"/>
        </w:rPr>
        <w:t>,</w:t>
      </w:r>
      <w:r w:rsidRPr="00A05575">
        <w:rPr>
          <w:rFonts w:cs="Times New Roman"/>
          <w:sz w:val="20"/>
          <w:szCs w:val="20"/>
        </w:rPr>
        <w:t xml:space="preserve"> 1983, I, 1515 e s. Di particolare interesse appare il passaggio dei Giudici delle leggi che, nell'affermare che </w:t>
      </w:r>
      <w:r>
        <w:rPr>
          <w:rFonts w:cs="Times New Roman"/>
          <w:i/>
          <w:sz w:val="20"/>
          <w:szCs w:val="20"/>
        </w:rPr>
        <w:t>«</w:t>
      </w:r>
      <w:r w:rsidRPr="00A05575">
        <w:rPr>
          <w:rFonts w:cs="Times New Roman"/>
          <w:i/>
          <w:sz w:val="20"/>
          <w:szCs w:val="20"/>
        </w:rPr>
        <w:t>sul punto non risultano pronunce giurisprudenziali</w:t>
      </w:r>
      <w:r>
        <w:rPr>
          <w:rFonts w:cs="Times New Roman"/>
          <w:i/>
          <w:sz w:val="20"/>
          <w:szCs w:val="20"/>
        </w:rPr>
        <w:t>»</w:t>
      </w:r>
      <w:r w:rsidRPr="00A05575">
        <w:rPr>
          <w:rFonts w:cs="Times New Roman"/>
          <w:sz w:val="20"/>
          <w:szCs w:val="20"/>
        </w:rPr>
        <w:t>, r</w:t>
      </w:r>
      <w:r w:rsidRPr="002F7EC3">
        <w:rPr>
          <w:rFonts w:cs="Times New Roman"/>
          <w:sz w:val="20"/>
          <w:szCs w:val="20"/>
        </w:rPr>
        <w:t xml:space="preserve">itengono evidentemente ininfluente la giurisprudenza anche della Suprema Corte formatasi sino all'approvazione della Costituzione e, quindi, richiamano </w:t>
      </w:r>
      <w:r>
        <w:rPr>
          <w:rFonts w:cs="Times New Roman"/>
          <w:i/>
          <w:sz w:val="20"/>
          <w:szCs w:val="20"/>
        </w:rPr>
        <w:t>«</w:t>
      </w:r>
      <w:r w:rsidRPr="002F7EC3">
        <w:rPr>
          <w:rFonts w:cs="Times New Roman"/>
          <w:i/>
          <w:sz w:val="20"/>
          <w:szCs w:val="20"/>
        </w:rPr>
        <w:t>autorevole dottrina</w:t>
      </w:r>
      <w:r>
        <w:rPr>
          <w:rFonts w:cs="Times New Roman"/>
          <w:i/>
          <w:sz w:val="20"/>
          <w:szCs w:val="20"/>
        </w:rPr>
        <w:t>»</w:t>
      </w:r>
      <w:r w:rsidRPr="002F7EC3">
        <w:rPr>
          <w:rFonts w:cs="Times New Roman"/>
          <w:sz w:val="20"/>
          <w:szCs w:val="20"/>
        </w:rPr>
        <w:t xml:space="preserve"> per affermare che</w:t>
      </w:r>
      <w:r w:rsidRPr="002F7EC3">
        <w:rPr>
          <w:rFonts w:cs="Times New Roman"/>
          <w:i/>
          <w:sz w:val="20"/>
          <w:szCs w:val="20"/>
        </w:rPr>
        <w:t xml:space="preserve"> </w:t>
      </w:r>
      <w:r>
        <w:rPr>
          <w:rFonts w:cs="Times New Roman"/>
          <w:i/>
          <w:sz w:val="20"/>
          <w:szCs w:val="20"/>
        </w:rPr>
        <w:t>«</w:t>
      </w:r>
      <w:r w:rsidRPr="002F7EC3">
        <w:rPr>
          <w:rFonts w:cs="Times New Roman"/>
          <w:i/>
          <w:sz w:val="20"/>
          <w:szCs w:val="20"/>
        </w:rPr>
        <w:t>l'autore di tale reato si propone in realtà di trarre un illecito profitto mediante l'aumento o la diminuzione dei prezzi, mentre il turbamento del mercato, che secondo il dato letterale della formula legislativa dovrebbe integrare il fine del colpevole, non rappresenta altro che la necessaria conseguenza della sua condotta</w:t>
      </w:r>
      <w:r>
        <w:rPr>
          <w:rFonts w:cs="Times New Roman"/>
          <w:i/>
          <w:sz w:val="20"/>
          <w:szCs w:val="20"/>
        </w:rPr>
        <w:t>»</w:t>
      </w:r>
      <w:r w:rsidRPr="002F7EC3">
        <w:rPr>
          <w:rFonts w:cs="Times New Roman"/>
          <w:i/>
          <w:sz w:val="20"/>
          <w:szCs w:val="20"/>
        </w:rPr>
        <w:t>.</w:t>
      </w:r>
    </w:p>
    <w:p w14:paraId="49754D51" w14:textId="68C77C8E" w:rsidR="003C19F1" w:rsidRPr="002F7EC3" w:rsidRDefault="003C19F1" w:rsidP="00CA0328">
      <w:pPr>
        <w:widowControl w:val="0"/>
        <w:autoSpaceDE w:val="0"/>
        <w:autoSpaceDN w:val="0"/>
        <w:adjustRightInd w:val="0"/>
        <w:ind w:firstLine="454"/>
        <w:rPr>
          <w:rFonts w:cs="Times New Roman"/>
          <w:sz w:val="20"/>
          <w:szCs w:val="20"/>
        </w:rPr>
      </w:pPr>
      <w:r w:rsidRPr="002F7EC3">
        <w:rPr>
          <w:rFonts w:cs="Times New Roman"/>
          <w:sz w:val="20"/>
          <w:szCs w:val="20"/>
        </w:rPr>
        <w:t xml:space="preserve">Pertanto la Consulta pare aderire alla corrente di pensiero dottrinario secondo cui </w:t>
      </w:r>
      <w:r>
        <w:rPr>
          <w:rFonts w:cs="Times New Roman"/>
          <w:i/>
          <w:sz w:val="20"/>
          <w:szCs w:val="20"/>
        </w:rPr>
        <w:t>«</w:t>
      </w:r>
      <w:r w:rsidRPr="002F7EC3">
        <w:rPr>
          <w:rFonts w:cs="Times New Roman"/>
          <w:i/>
          <w:sz w:val="20"/>
          <w:szCs w:val="20"/>
        </w:rPr>
        <w:t>l'elemento psicologico si esaurisce nel dolo generico, consistente nel volere l'aumento o la diminuzione suddetti [prezzi, ndr], sicché solo in apparenza sarebbe richiesto per l'aggiotaggio comune il dolo specifico, essendo invece sufficiente anche per esso quello generico</w:t>
      </w:r>
      <w:r>
        <w:rPr>
          <w:rFonts w:cs="Times New Roman"/>
          <w:i/>
          <w:sz w:val="20"/>
          <w:szCs w:val="20"/>
        </w:rPr>
        <w:t>»</w:t>
      </w:r>
      <w:r w:rsidRPr="002F7EC3">
        <w:rPr>
          <w:rFonts w:cs="Times New Roman"/>
          <w:sz w:val="20"/>
          <w:szCs w:val="20"/>
        </w:rPr>
        <w:t>.</w:t>
      </w:r>
    </w:p>
  </w:footnote>
  <w:footnote w:id="53">
    <w:p w14:paraId="3423EBA0" w14:textId="502BC775" w:rsidR="003C19F1" w:rsidRPr="002F7EC3" w:rsidRDefault="003C19F1" w:rsidP="00CA0328">
      <w:pPr>
        <w:widowControl w:val="0"/>
        <w:autoSpaceDE w:val="0"/>
        <w:autoSpaceDN w:val="0"/>
        <w:adjustRightInd w:val="0"/>
        <w:ind w:firstLine="454"/>
        <w:rPr>
          <w:rFonts w:cs="Times New Roman"/>
          <w:sz w:val="20"/>
          <w:szCs w:val="20"/>
        </w:rPr>
      </w:pPr>
      <w:r w:rsidRPr="002F7EC3">
        <w:rPr>
          <w:rStyle w:val="Rimandonotaapidipagina"/>
          <w:sz w:val="20"/>
          <w:szCs w:val="20"/>
        </w:rPr>
        <w:footnoteRef/>
      </w:r>
      <w:r w:rsidRPr="002F7EC3">
        <w:rPr>
          <w:sz w:val="20"/>
          <w:szCs w:val="20"/>
        </w:rPr>
        <w:t xml:space="preserve"> </w:t>
      </w:r>
      <w:r>
        <w:rPr>
          <w:rFonts w:cs="Times New Roman"/>
          <w:sz w:val="20"/>
          <w:szCs w:val="20"/>
        </w:rPr>
        <w:t>Si riporta il testo dell’articolo</w:t>
      </w:r>
      <w:r w:rsidRPr="002F7EC3">
        <w:rPr>
          <w:rFonts w:cs="Times New Roman"/>
          <w:sz w:val="20"/>
          <w:szCs w:val="20"/>
        </w:rPr>
        <w:t xml:space="preserve">: </w:t>
      </w:r>
      <w:r>
        <w:rPr>
          <w:rFonts w:cs="Times New Roman"/>
          <w:i/>
          <w:sz w:val="20"/>
          <w:szCs w:val="20"/>
        </w:rPr>
        <w:t>«</w:t>
      </w:r>
      <w:r w:rsidRPr="002F7EC3">
        <w:rPr>
          <w:rFonts w:cs="Times New Roman"/>
          <w:i/>
          <w:sz w:val="20"/>
          <w:szCs w:val="20"/>
        </w:rPr>
        <w:t>Gli amministratori, i direttori generali, i sindaci e i liquidatori che, per procurare a sé o ad altri un profitto con danno della società diffondendo notizie false o con altri mezzi fraudolenti producono sul pubblico mercato o sulle Borse di commercio un aumento o una diminuzione del valore delle azioni o di altri titoli ad essa appartenenti [...]</w:t>
      </w:r>
      <w:r>
        <w:rPr>
          <w:rFonts w:cs="Times New Roman"/>
          <w:i/>
          <w:sz w:val="20"/>
          <w:szCs w:val="20"/>
        </w:rPr>
        <w:t>»</w:t>
      </w:r>
      <w:r>
        <w:rPr>
          <w:rFonts w:cs="Times New Roman"/>
          <w:sz w:val="20"/>
          <w:szCs w:val="20"/>
        </w:rPr>
        <w:t>.</w:t>
      </w:r>
    </w:p>
  </w:footnote>
  <w:footnote w:id="54">
    <w:p w14:paraId="611332BD" w14:textId="387D922A" w:rsidR="003C19F1" w:rsidRPr="00A05575" w:rsidRDefault="003C19F1" w:rsidP="00CA0328">
      <w:pPr>
        <w:widowControl w:val="0"/>
        <w:autoSpaceDE w:val="0"/>
        <w:autoSpaceDN w:val="0"/>
        <w:adjustRightInd w:val="0"/>
        <w:ind w:firstLine="454"/>
        <w:rPr>
          <w:rFonts w:cs="Times New Roman"/>
          <w:sz w:val="20"/>
          <w:szCs w:val="20"/>
        </w:rPr>
      </w:pPr>
      <w:r w:rsidRPr="002F7EC3">
        <w:rPr>
          <w:rStyle w:val="Rimandonotaapidipagina"/>
          <w:rFonts w:cs="Times New Roman"/>
          <w:sz w:val="20"/>
          <w:szCs w:val="20"/>
        </w:rPr>
        <w:footnoteRef/>
      </w:r>
      <w:r>
        <w:rPr>
          <w:rFonts w:cs="Times New Roman"/>
          <w:sz w:val="20"/>
          <w:szCs w:val="20"/>
        </w:rPr>
        <w:t xml:space="preserve"> Si riporta l’a</w:t>
      </w:r>
      <w:r w:rsidRPr="002F7EC3">
        <w:rPr>
          <w:rFonts w:cs="Times New Roman"/>
          <w:sz w:val="20"/>
          <w:szCs w:val="20"/>
        </w:rPr>
        <w:t>rt. 2628 c.c. nella</w:t>
      </w:r>
      <w:r w:rsidRPr="00A05575">
        <w:rPr>
          <w:rFonts w:cs="Times New Roman"/>
          <w:sz w:val="20"/>
          <w:szCs w:val="20"/>
        </w:rPr>
        <w:t xml:space="preserve"> sua formulazione originaria: </w:t>
      </w:r>
      <w:r>
        <w:rPr>
          <w:rFonts w:cs="Times New Roman"/>
          <w:i/>
          <w:sz w:val="20"/>
          <w:szCs w:val="20"/>
        </w:rPr>
        <w:t>«</w:t>
      </w:r>
      <w:r w:rsidRPr="00A05575">
        <w:rPr>
          <w:rFonts w:cs="Times New Roman"/>
          <w:i/>
          <w:sz w:val="20"/>
          <w:szCs w:val="20"/>
        </w:rPr>
        <w:t>Gli amministratori, i direttori generali, i sindaci e i liquidatori che diffondono notizie false o adoperano altri mezzi fraudolenti atti a cagionare nel pubblico mercato o nelle borse di commercio un aumento o una diminuzione del valore delle azioni della società o di altri titoli ad essa appartenenti, sono puniti con la reclusione da uno a cinque anni e con la multa non inferiore a lire tremila</w:t>
      </w:r>
      <w:r>
        <w:rPr>
          <w:rFonts w:cs="Times New Roman"/>
          <w:i/>
          <w:sz w:val="20"/>
          <w:szCs w:val="20"/>
        </w:rPr>
        <w:t>»</w:t>
      </w:r>
      <w:r w:rsidRPr="00A05575">
        <w:rPr>
          <w:rFonts w:cs="Times New Roman"/>
          <w:i/>
          <w:sz w:val="20"/>
          <w:szCs w:val="20"/>
        </w:rPr>
        <w:t>.</w:t>
      </w:r>
    </w:p>
  </w:footnote>
  <w:footnote w:id="55">
    <w:p w14:paraId="388E5FCB" w14:textId="77777777" w:rsidR="003C19F1" w:rsidRPr="00A05575" w:rsidRDefault="003C19F1" w:rsidP="00CA0328">
      <w:pPr>
        <w:pStyle w:val="Testonotaapidipagina"/>
        <w:ind w:firstLine="454"/>
      </w:pPr>
      <w:r w:rsidRPr="00A05575">
        <w:rPr>
          <w:rStyle w:val="Rimandonotaapidipagina"/>
        </w:rPr>
        <w:footnoteRef/>
      </w:r>
      <w:r w:rsidRPr="00A05575">
        <w:t xml:space="preserve"> Si è scelto di tenere come punto di riferimento la fattispecie di aggiotaggio comune e dar conto solo parzialmente di quella di tipo societario di cui all’art. 2628 c.c. per ragioni di sintesi espositiva. La scelta è caduta sulla fattispecie di aggiotaggio comune, poiché la fattispecie di aggiotaggio societario era prevista come reato proprio degli esponenti della società e non se ne sarebbe potuta dare una lettura generale.</w:t>
      </w:r>
    </w:p>
  </w:footnote>
  <w:footnote w:id="56">
    <w:p w14:paraId="48FDAE23" w14:textId="082B6CE4" w:rsidR="003C19F1" w:rsidRPr="00A05575" w:rsidRDefault="003C19F1" w:rsidP="00CA0328">
      <w:pPr>
        <w:pStyle w:val="Testonotaapidipagina"/>
        <w:ind w:firstLine="454"/>
      </w:pPr>
      <w:r w:rsidRPr="00A05575">
        <w:rPr>
          <w:rStyle w:val="Rimandonotaapidipagina"/>
        </w:rPr>
        <w:footnoteRef/>
      </w:r>
      <w:r w:rsidRPr="00A05575">
        <w:t xml:space="preserve"> Anche se il modello adottato per la formulazione del reato è all’evidenza quello dell’aggiotaggio dell’articolo 501 c.p., sembra tendere in tal senso </w:t>
      </w:r>
      <w:r w:rsidRPr="00AA57DC">
        <w:rPr>
          <w:smallCaps/>
        </w:rPr>
        <w:t>Mirto</w:t>
      </w:r>
      <w:r w:rsidRPr="00A05575">
        <w:t xml:space="preserve">, </w:t>
      </w:r>
      <w:r w:rsidRPr="00AA57DC">
        <w:rPr>
          <w:i/>
        </w:rPr>
        <w:t>Il diritto penale delle società</w:t>
      </w:r>
      <w:r w:rsidRPr="00A05575">
        <w:t xml:space="preserve">, Milano, 1954, 248 e s., secondo il quale l’incriminazione è rivolta </w:t>
      </w:r>
      <w:r>
        <w:rPr>
          <w:i/>
        </w:rPr>
        <w:t>«</w:t>
      </w:r>
      <w:r w:rsidRPr="00A05575">
        <w:rPr>
          <w:i/>
        </w:rPr>
        <w:t>a quelle persone che, essendo a conoscenza della situazione patrimoniale della società per la carica che rivestono, tradiscono la fiducia che la legge prima, e la società poi ripone in essi</w:t>
      </w:r>
      <w:r>
        <w:rPr>
          <w:i/>
        </w:rPr>
        <w:t>»</w:t>
      </w:r>
      <w:r w:rsidRPr="00A05575">
        <w:t>.</w:t>
      </w:r>
    </w:p>
  </w:footnote>
  <w:footnote w:id="57">
    <w:p w14:paraId="470E41D1" w14:textId="7FCA6EAB" w:rsidR="003C19F1" w:rsidRPr="00A05575" w:rsidRDefault="003C19F1" w:rsidP="00CA0328">
      <w:pPr>
        <w:pStyle w:val="Testonotaapidipagina"/>
        <w:ind w:firstLine="454"/>
      </w:pPr>
      <w:r w:rsidRPr="00A05575">
        <w:rPr>
          <w:rStyle w:val="Rimandonotaapidipagina"/>
        </w:rPr>
        <w:footnoteRef/>
      </w:r>
      <w:r w:rsidRPr="00A05575">
        <w:t xml:space="preserve"> Per tali ragionamenti cfr.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cit., 125.</w:t>
      </w:r>
    </w:p>
  </w:footnote>
  <w:footnote w:id="58">
    <w:p w14:paraId="08FFC53F" w14:textId="0C1981BB" w:rsidR="003C19F1" w:rsidRPr="00A05575" w:rsidRDefault="003C19F1" w:rsidP="00CA0328">
      <w:pPr>
        <w:pStyle w:val="Testonotaapidipagina"/>
        <w:ind w:firstLine="454"/>
      </w:pPr>
      <w:r w:rsidRPr="00A05575">
        <w:rPr>
          <w:rStyle w:val="Rimandonotaapidipagina"/>
        </w:rPr>
        <w:footnoteRef/>
      </w:r>
      <w:r w:rsidRPr="00A05575">
        <w:t xml:space="preserve"> In tal senso abbiamo già citato a tal proposito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cit., 125.</w:t>
      </w:r>
    </w:p>
  </w:footnote>
  <w:footnote w:id="59">
    <w:p w14:paraId="573EBEF4" w14:textId="15EAC915" w:rsidR="003C19F1" w:rsidRPr="00A05575" w:rsidRDefault="003C19F1" w:rsidP="00CA0328">
      <w:pPr>
        <w:pStyle w:val="Testonotaapidipagina"/>
        <w:ind w:firstLine="454"/>
      </w:pPr>
      <w:r w:rsidRPr="00A05575">
        <w:rPr>
          <w:rStyle w:val="Rimandonotaapidipagina"/>
        </w:rPr>
        <w:footnoteRef/>
      </w:r>
      <w:r w:rsidRPr="00A05575">
        <w:t xml:space="preserve"> </w:t>
      </w:r>
      <w:r w:rsidRPr="00AA57DC">
        <w:rPr>
          <w:smallCaps/>
        </w:rPr>
        <w:t>Mirto</w:t>
      </w:r>
      <w:r w:rsidRPr="00A05575">
        <w:t xml:space="preserve">, </w:t>
      </w:r>
      <w:r w:rsidRPr="005E0DB4">
        <w:rPr>
          <w:i/>
        </w:rPr>
        <w:t>Il diritto penale delle società</w:t>
      </w:r>
      <w:r w:rsidRPr="00A05575">
        <w:t>, cit., 249 e s.</w:t>
      </w:r>
      <w:r>
        <w:t xml:space="preserve"> </w:t>
      </w:r>
    </w:p>
  </w:footnote>
  <w:footnote w:id="60">
    <w:p w14:paraId="1D3071E8" w14:textId="596D37F8" w:rsidR="003C19F1" w:rsidRPr="00A05575" w:rsidRDefault="003C19F1" w:rsidP="00CA0328">
      <w:pPr>
        <w:pStyle w:val="Testonotaapidipagina"/>
        <w:ind w:firstLine="454"/>
      </w:pPr>
      <w:r w:rsidRPr="00A05575">
        <w:rPr>
          <w:rStyle w:val="Rimandonotaapidipagina"/>
        </w:rPr>
        <w:footnoteRef/>
      </w:r>
      <w:r w:rsidRPr="00A05575">
        <w:t xml:space="preserve"> Il delitto di truffa differisce da quello di aggiotaggio</w:t>
      </w:r>
      <w:r>
        <w:t xml:space="preserve">, secondo Magro, in </w:t>
      </w:r>
      <w:r w:rsidRPr="00D52B7B">
        <w:rPr>
          <w:smallCaps/>
        </w:rPr>
        <w:t>Magro</w:t>
      </w:r>
      <w:r w:rsidRPr="005C6D08">
        <w:t xml:space="preserve">, </w:t>
      </w:r>
      <w:r w:rsidRPr="005C6D08">
        <w:rPr>
          <w:i/>
          <w:iCs/>
        </w:rPr>
        <w:t xml:space="preserve">Art. 501, </w:t>
      </w:r>
      <w:r w:rsidRPr="005C6D08">
        <w:t>in</w:t>
      </w:r>
      <w:r w:rsidRPr="005C6D08">
        <w:rPr>
          <w:i/>
          <w:iCs/>
        </w:rPr>
        <w:t xml:space="preserve"> Trattato di diritto penale, </w:t>
      </w:r>
      <w:r w:rsidRPr="005C6D08">
        <w:t xml:space="preserve">a cura di </w:t>
      </w:r>
      <w:r w:rsidRPr="00D52B7B">
        <w:rPr>
          <w:smallCaps/>
        </w:rPr>
        <w:t>Cadoppi-Canestrari-Manna-Papa</w:t>
      </w:r>
      <w:r>
        <w:t>, vol. V, Torino, 2010, 684, in quanto l’aggiotaggio è  una “frode collettiva” di cui è vittima un pubblico indeterminato di persone.</w:t>
      </w:r>
    </w:p>
  </w:footnote>
  <w:footnote w:id="61">
    <w:p w14:paraId="668E8DE5" w14:textId="4D2FDEB2" w:rsidR="003C19F1" w:rsidRPr="00A05575" w:rsidRDefault="003C19F1" w:rsidP="00CA0328">
      <w:pPr>
        <w:pStyle w:val="Testonotaapidipagina"/>
        <w:ind w:firstLine="454"/>
      </w:pPr>
      <w:r w:rsidRPr="00A05575">
        <w:rPr>
          <w:rStyle w:val="Rimandonotaapidipagina"/>
        </w:rPr>
        <w:footnoteRef/>
      </w:r>
      <w:r w:rsidRPr="00A05575">
        <w:t xml:space="preserve"> Vedi sempre </w:t>
      </w:r>
      <w:r w:rsidRPr="00AA57DC">
        <w:rPr>
          <w:smallCaps/>
        </w:rPr>
        <w:t>Mirto</w:t>
      </w:r>
      <w:r w:rsidRPr="00A05575">
        <w:t xml:space="preserve">, </w:t>
      </w:r>
      <w:r w:rsidRPr="005E0DB4">
        <w:rPr>
          <w:i/>
        </w:rPr>
        <w:t>Il diritto penale delle società</w:t>
      </w:r>
      <w:r w:rsidRPr="00A05575">
        <w:t>, cit., 250.</w:t>
      </w:r>
    </w:p>
  </w:footnote>
  <w:footnote w:id="62">
    <w:p w14:paraId="05E68860" w14:textId="19DD1215" w:rsidR="003C19F1" w:rsidRPr="00A05575" w:rsidRDefault="003C19F1" w:rsidP="00CA0328">
      <w:pPr>
        <w:pStyle w:val="Testonotaapidipagina"/>
        <w:ind w:firstLine="454"/>
      </w:pPr>
      <w:r w:rsidRPr="00A05575">
        <w:rPr>
          <w:rStyle w:val="Rimandonotaapidipagina"/>
        </w:rPr>
        <w:footnoteRef/>
      </w:r>
      <w:r w:rsidRPr="00A05575">
        <w:t xml:space="preserve"> App. Genova, 2 luglio 1965, Gualco e altro, cit.; in tal senso anche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cit., 125 e s.</w:t>
      </w:r>
    </w:p>
  </w:footnote>
  <w:footnote w:id="63">
    <w:p w14:paraId="780A79DA" w14:textId="4683DD30" w:rsidR="003C19F1" w:rsidRPr="00A05575" w:rsidRDefault="003C19F1" w:rsidP="00CA0328">
      <w:pPr>
        <w:pStyle w:val="Testonotaapidipagina"/>
        <w:ind w:firstLine="454"/>
        <w:rPr>
          <w:i/>
        </w:rPr>
      </w:pPr>
      <w:r w:rsidRPr="00A05575">
        <w:rPr>
          <w:rStyle w:val="Rimandonotaapidipagina"/>
        </w:rPr>
        <w:footnoteRef/>
      </w:r>
      <w:r w:rsidRPr="00A05575">
        <w:t xml:space="preserve"> Art. 501 bis del c.p.:</w:t>
      </w:r>
      <w:r w:rsidRPr="00A05575">
        <w:rPr>
          <w:i/>
        </w:rPr>
        <w:t xml:space="preserve"> </w:t>
      </w:r>
      <w:r>
        <w:rPr>
          <w:i/>
        </w:rPr>
        <w:t>«</w:t>
      </w:r>
      <w:r w:rsidRPr="00A05575">
        <w:rPr>
          <w:i/>
        </w:rPr>
        <w:t>Fuori dei casi previsti dall'articolo precedente, chiunque, nell'esercizio di qualsiasi attività produttiva o commerciale, compie manovre speculative ovvero occulta, accaparra od incetta materie prime, generi alimentari di largo consumo o prodotti di prima necessità, in modo atto a determinarne la rarefazione o il rincaro sul mercato interno, è punito con la reclusione da sei mesi a tre anni e con la multa da euro 516 a euro 25.822.</w:t>
      </w:r>
    </w:p>
    <w:p w14:paraId="44F19C20" w14:textId="77777777" w:rsidR="003C19F1" w:rsidRPr="00A05575" w:rsidRDefault="003C19F1" w:rsidP="00CA0328">
      <w:pPr>
        <w:pStyle w:val="Testonotaapidipagina"/>
        <w:ind w:firstLine="454"/>
        <w:rPr>
          <w:i/>
        </w:rPr>
      </w:pPr>
      <w:r w:rsidRPr="00A05575">
        <w:rPr>
          <w:i/>
        </w:rPr>
        <w:t>Alla stessa pena soggiace chiunque, in presenza di fenomeni di rarefazione o rincaro sul mercato interno delle merci indicate nella prima parte del presente articolo e nell'esercizio delle medesime attività, ne sottrae all'utilizzazione o al consumo rilevanti quantità.</w:t>
      </w:r>
    </w:p>
    <w:p w14:paraId="03FF6240" w14:textId="77777777" w:rsidR="003C19F1" w:rsidRPr="00A05575" w:rsidRDefault="003C19F1" w:rsidP="00CA0328">
      <w:pPr>
        <w:pStyle w:val="Testonotaapidipagina"/>
        <w:ind w:firstLine="454"/>
        <w:rPr>
          <w:i/>
        </w:rPr>
      </w:pPr>
      <w:r w:rsidRPr="00A05575">
        <w:rPr>
          <w:i/>
        </w:rPr>
        <w:t>L'autorità giudiziaria competente e, in caso di flagranza, anche gli ufficiali e agenti di polizia giudiziaria procedono al sequestro delle merci, osservando le norme sull'istruzione formale. L'autorità giudiziaria competente dispone la vendita coattiva immediata delle merci stesse nelle forme di cui all'articolo 625 del codice di procedura penale.</w:t>
      </w:r>
    </w:p>
    <w:p w14:paraId="7768F6EE" w14:textId="6E23C7B3" w:rsidR="003C19F1" w:rsidRPr="00A05575" w:rsidRDefault="003C19F1" w:rsidP="00CA0328">
      <w:pPr>
        <w:pStyle w:val="Testonotaapidipagina"/>
        <w:ind w:firstLine="454"/>
      </w:pPr>
      <w:r w:rsidRPr="00A05575">
        <w:rPr>
          <w:i/>
        </w:rPr>
        <w:t>La condanna importa l'interdizione dall'esercizio di attività commerciali o industriali per le quali sia richiesto uno speciale permesso o una speciale abilitazione, autorizzazione o licenza da parte dell'autorità e la pubblicazione della sentenza</w:t>
      </w:r>
      <w:r>
        <w:rPr>
          <w:i/>
        </w:rPr>
        <w:t>»</w:t>
      </w:r>
      <w:r w:rsidRPr="00A05575">
        <w:t>.</w:t>
      </w:r>
    </w:p>
  </w:footnote>
  <w:footnote w:id="64">
    <w:p w14:paraId="10D605D2" w14:textId="69F22180"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xml:space="preserve">, cit., </w:t>
      </w:r>
      <w:r>
        <w:t xml:space="preserve">123, ma vedi in senso opposto </w:t>
      </w:r>
      <w:r w:rsidRPr="00AA57DC">
        <w:rPr>
          <w:smallCaps/>
        </w:rPr>
        <w:t>Vassalli</w:t>
      </w:r>
      <w:r w:rsidRPr="00A05575">
        <w:t xml:space="preserve">, </w:t>
      </w:r>
      <w:r w:rsidRPr="005E0DB4">
        <w:rPr>
          <w:i/>
        </w:rPr>
        <w:t>Repressione dell’accaparramento di merci di largo consumo ed altre manovre speculative</w:t>
      </w:r>
      <w:r w:rsidRPr="00A05575">
        <w:t xml:space="preserve">, in </w:t>
      </w:r>
      <w:r w:rsidRPr="005E0DB4">
        <w:rPr>
          <w:i/>
        </w:rPr>
        <w:t>Legislazione economica</w:t>
      </w:r>
      <w:r w:rsidRPr="00A05575">
        <w:t>, Milano, 1978, 266.</w:t>
      </w:r>
    </w:p>
  </w:footnote>
  <w:footnote w:id="65">
    <w:p w14:paraId="7DA9F86A" w14:textId="0864DA6E" w:rsidR="003C19F1" w:rsidRPr="00A05575" w:rsidRDefault="003C19F1" w:rsidP="00CA0328">
      <w:pPr>
        <w:widowControl w:val="0"/>
        <w:autoSpaceDE w:val="0"/>
        <w:autoSpaceDN w:val="0"/>
        <w:adjustRightInd w:val="0"/>
        <w:ind w:firstLine="454"/>
        <w:rPr>
          <w:rFonts w:cs="Times New Roman"/>
          <w:i/>
          <w:sz w:val="20"/>
          <w:szCs w:val="20"/>
        </w:rPr>
      </w:pPr>
      <w:r w:rsidRPr="00A05575">
        <w:rPr>
          <w:rStyle w:val="Rimandonotaapidipagina"/>
          <w:rFonts w:cs="Times New Roman"/>
          <w:sz w:val="20"/>
          <w:szCs w:val="20"/>
        </w:rPr>
        <w:footnoteRef/>
      </w:r>
      <w:r w:rsidRPr="00A05575">
        <w:rPr>
          <w:rFonts w:cs="Times New Roman"/>
          <w:sz w:val="20"/>
          <w:szCs w:val="20"/>
        </w:rPr>
        <w:t xml:space="preserve"> Si riporta il testo integrale dell’articolo 5 della l. 157/1991: </w:t>
      </w:r>
      <w:r>
        <w:rPr>
          <w:rFonts w:cs="Times New Roman"/>
          <w:i/>
          <w:sz w:val="20"/>
          <w:szCs w:val="20"/>
        </w:rPr>
        <w:t>«</w:t>
      </w:r>
      <w:r w:rsidRPr="00A05575">
        <w:rPr>
          <w:rFonts w:cs="Times New Roman"/>
          <w:i/>
          <w:sz w:val="20"/>
          <w:szCs w:val="20"/>
        </w:rPr>
        <w:t>Chiunque divulga notizie false, esagerate o tendenziose ovvero pone in essere operazioni simulate od altri artifizi, idonei ad influenzare sensibilmente il prezzo di valori mobiliari, è punito con la reclusione fino a sei mesi e con la multa da lire un milione a lire trenta milioni.</w:t>
      </w:r>
    </w:p>
    <w:p w14:paraId="7CAC045F"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 xml:space="preserve">Se il fatto di cui al comma 1 è commesso al fine di provocare una sensibile alterazione del prezzo di valori mobiliari ovvero l'apparenza di un mercato attivo su tali valori mobiliari, si applicano le pene di cui all'articolo 501 del codice penale. </w:t>
      </w:r>
    </w:p>
    <w:p w14:paraId="6E30B91A"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 xml:space="preserve">Nei casi di cui ai commi 1 e 2, se si verifica la sensibile alterazione del prezzo di valori mobiliari ovvero l'apparenza di un mercato attivo di detti valori, le pene ivi previste sono aumentate. Si applicano le pene accessorie di cui agli articoli 28, 30, 32- bis, primo comma, e 32- ter del codice penale per una durata non inferiore a sei mesi e non superiore a due anni. </w:t>
      </w:r>
    </w:p>
    <w:p w14:paraId="5E3A1FBE"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Si applica il terzo comma dell'articolo 501 del codice penale.</w:t>
      </w:r>
    </w:p>
    <w:p w14:paraId="76E09B41" w14:textId="3AE7FCF6"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La pena è raddoppiata se i reati di cui ai commi 1 e 2 sono commessi dagli azionisti che anche di fatto esercitano il controllo della società, ai sensi dell'articolo 2359 del codice civile, dagli amministratori, dai liquidatori, dai direttori generali, dai dirigenti, dai sindaci e dai revisori dei conti di società o enti emittenti valori mobiliari di società che svolgono attività di intermediazioni di valori mobiliari o da agenti di cambio, o da membri o dipendenti della Commissione nazionale per le società e la borsa, ovvero dagli organi locali di borsa, ovvero se il reato è commesso a mezzo stampa o con altri mezzi di comunicazione di massa</w:t>
      </w:r>
      <w:r>
        <w:rPr>
          <w:rFonts w:cs="Times New Roman"/>
          <w:i/>
          <w:sz w:val="20"/>
          <w:szCs w:val="20"/>
        </w:rPr>
        <w:t>»</w:t>
      </w:r>
      <w:r w:rsidRPr="00A05575">
        <w:rPr>
          <w:rFonts w:cs="Times New Roman"/>
          <w:i/>
          <w:sz w:val="20"/>
          <w:szCs w:val="20"/>
        </w:rPr>
        <w:t>.</w:t>
      </w:r>
    </w:p>
  </w:footnote>
  <w:footnote w:id="66">
    <w:p w14:paraId="21B107A6" w14:textId="4C625298" w:rsidR="003C19F1" w:rsidRPr="00A05575" w:rsidRDefault="003C19F1" w:rsidP="00CA0328">
      <w:pPr>
        <w:pStyle w:val="Testonotaapidipagina"/>
        <w:ind w:firstLine="454"/>
      </w:pPr>
      <w:r w:rsidRPr="00A05575">
        <w:rPr>
          <w:rStyle w:val="Rimandonotaapidipagina"/>
        </w:rPr>
        <w:footnoteRef/>
      </w:r>
      <w:r w:rsidRPr="00A05575">
        <w:t xml:space="preserve"> Per tali considerazioni si veda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cit., 128.</w:t>
      </w:r>
    </w:p>
  </w:footnote>
  <w:footnote w:id="67">
    <w:p w14:paraId="1F7F28AC" w14:textId="0032985B" w:rsidR="003C19F1" w:rsidRPr="00A05575" w:rsidRDefault="003C19F1" w:rsidP="00CA0328">
      <w:pPr>
        <w:pStyle w:val="Testonotaapidipagina"/>
        <w:ind w:firstLine="454"/>
      </w:pPr>
      <w:r w:rsidRPr="00A05575">
        <w:rPr>
          <w:rStyle w:val="Rimandonotaapidipagina"/>
        </w:rPr>
        <w:footnoteRef/>
      </w:r>
      <w:r w:rsidRPr="00A05575">
        <w:t xml:space="preserve"> </w:t>
      </w:r>
      <w:r w:rsidRPr="00AA57DC">
        <w:rPr>
          <w:smallCaps/>
        </w:rPr>
        <w:t>Palombi-Pica</w:t>
      </w:r>
      <w:r w:rsidRPr="00A05575">
        <w:t xml:space="preserve">, </w:t>
      </w:r>
      <w:r w:rsidRPr="005E0DB4">
        <w:rPr>
          <w:i/>
        </w:rPr>
        <w:t>Diritto penale dell’economia e dell’impresa</w:t>
      </w:r>
      <w:r w:rsidRPr="00A05575">
        <w:t>, Torino, 1996, 1247.</w:t>
      </w:r>
    </w:p>
  </w:footnote>
  <w:footnote w:id="68">
    <w:p w14:paraId="6C481F41" w14:textId="3BA6FBAF" w:rsidR="003C19F1" w:rsidRPr="00A05575" w:rsidRDefault="003C19F1" w:rsidP="00CA0328">
      <w:pPr>
        <w:pStyle w:val="Testonotaapidipagina"/>
        <w:ind w:firstLine="454"/>
      </w:pPr>
      <w:r w:rsidRPr="00A05575">
        <w:rPr>
          <w:rStyle w:val="Rimandonotaapidipagina"/>
        </w:rPr>
        <w:footnoteRef/>
      </w:r>
      <w:r w:rsidRPr="00A05575">
        <w:t xml:space="preserve"> </w:t>
      </w:r>
      <w:r w:rsidRPr="00931BDD">
        <w:rPr>
          <w:smallCaps/>
        </w:rPr>
        <w:t>Pedrazzi</w:t>
      </w:r>
      <w:r w:rsidRPr="00A05575">
        <w:t xml:space="preserve">, </w:t>
      </w:r>
      <w:r w:rsidRPr="005E0DB4">
        <w:rPr>
          <w:i/>
        </w:rPr>
        <w:t>Turbativa dei mercati</w:t>
      </w:r>
      <w:r w:rsidRPr="00A05575">
        <w:t xml:space="preserve">, in </w:t>
      </w:r>
      <w:r w:rsidRPr="005E0DB4">
        <w:rPr>
          <w:i/>
        </w:rPr>
        <w:t>Diritto penale, vol. IV Scritti di diritto penale dell’economia</w:t>
      </w:r>
      <w:r w:rsidRPr="00A05575">
        <w:t>, cit., 129.</w:t>
      </w:r>
      <w:r>
        <w:t xml:space="preserve"> </w:t>
      </w:r>
    </w:p>
  </w:footnote>
  <w:footnote w:id="69">
    <w:p w14:paraId="25E3F979" w14:textId="50CD0B77" w:rsidR="003C19F1" w:rsidRPr="00A05575" w:rsidRDefault="003C19F1" w:rsidP="00CA0328">
      <w:pPr>
        <w:pStyle w:val="Testonotaapidipagina"/>
        <w:ind w:firstLine="454"/>
      </w:pPr>
      <w:r w:rsidRPr="00A05575">
        <w:rPr>
          <w:rStyle w:val="Rimandonotaapidipagina"/>
        </w:rPr>
        <w:footnoteRef/>
      </w:r>
      <w:r w:rsidRPr="00A05575">
        <w:t xml:space="preserve"> Il passaggio da reato comune a reato proprio avviene solo nel caso in cui la manipolazione abbia ad oggetto i titoli in relazione a cui l’agente possieda la particolare qualificazione soggettiva in esame, cfr </w:t>
      </w:r>
      <w:r w:rsidRPr="00AA57DC">
        <w:rPr>
          <w:smallCaps/>
        </w:rPr>
        <w:t>Palombi-Pica</w:t>
      </w:r>
      <w:r w:rsidRPr="00A05575">
        <w:t xml:space="preserve">, </w:t>
      </w:r>
      <w:r w:rsidRPr="00F34CCC">
        <w:rPr>
          <w:i/>
        </w:rPr>
        <w:t>Diritto penale dell’economia e dell’impresa</w:t>
      </w:r>
      <w:r w:rsidRPr="00A05575">
        <w:t>, cit., 1246.</w:t>
      </w:r>
    </w:p>
  </w:footnote>
  <w:footnote w:id="70">
    <w:p w14:paraId="35E67059" w14:textId="0E004F89" w:rsidR="003C19F1" w:rsidRPr="00A05575" w:rsidRDefault="003C19F1" w:rsidP="00CA0328">
      <w:pPr>
        <w:pStyle w:val="Testonotaapidipagina"/>
        <w:ind w:firstLine="454"/>
      </w:pPr>
      <w:r w:rsidRPr="00A05575">
        <w:rPr>
          <w:rStyle w:val="Rimandonotaapidipagina"/>
        </w:rPr>
        <w:footnoteRef/>
      </w:r>
      <w:r w:rsidRPr="00A05575">
        <w:t xml:space="preserve"> Appare singolare l’inclusione degli agenti di cambio nell’elenco e non del personale delle Società di investimento mobiliare, introdotte con la precedente l. 2 gennaio 1991, n. 1 e destinate a sostituire gli stessi agenti di cambio. L’omissione deve attribuirsi ad un errore del legislatore; cfr. </w:t>
      </w:r>
      <w:r w:rsidRPr="00AA57DC">
        <w:rPr>
          <w:smallCaps/>
        </w:rPr>
        <w:t>Palombi-Pica</w:t>
      </w:r>
      <w:r w:rsidRPr="00A05575">
        <w:t xml:space="preserve">, </w:t>
      </w:r>
      <w:r w:rsidRPr="005E0DB4">
        <w:rPr>
          <w:i/>
        </w:rPr>
        <w:t>Diritto penale dell’economia e dell’impresa</w:t>
      </w:r>
      <w:r w:rsidRPr="00A05575">
        <w:t>, cit., 1246.</w:t>
      </w:r>
    </w:p>
  </w:footnote>
  <w:footnote w:id="71">
    <w:p w14:paraId="6470D48E" w14:textId="531CFCB9" w:rsidR="003C19F1" w:rsidRPr="00A05575" w:rsidRDefault="003C19F1" w:rsidP="00CA0328">
      <w:pPr>
        <w:widowControl w:val="0"/>
        <w:autoSpaceDE w:val="0"/>
        <w:autoSpaceDN w:val="0"/>
        <w:adjustRightInd w:val="0"/>
        <w:ind w:firstLine="454"/>
        <w:rPr>
          <w:rFonts w:cs="Times New Roman"/>
          <w:i/>
          <w:sz w:val="20"/>
          <w:szCs w:val="20"/>
        </w:rPr>
      </w:pPr>
      <w:r w:rsidRPr="00A05575">
        <w:rPr>
          <w:rStyle w:val="Rimandonotaapidipagina"/>
          <w:rFonts w:cs="Times New Roman"/>
          <w:sz w:val="20"/>
          <w:szCs w:val="20"/>
        </w:rPr>
        <w:footnoteRef/>
      </w:r>
      <w:r w:rsidRPr="00A05575">
        <w:rPr>
          <w:rFonts w:cs="Times New Roman"/>
          <w:sz w:val="20"/>
          <w:szCs w:val="20"/>
        </w:rPr>
        <w:t xml:space="preserve"> Art. 181 del d.lgs. 58 del 1998: </w:t>
      </w:r>
      <w:r>
        <w:rPr>
          <w:rFonts w:cs="Times New Roman"/>
          <w:i/>
          <w:sz w:val="20"/>
          <w:szCs w:val="20"/>
        </w:rPr>
        <w:t>«</w:t>
      </w:r>
      <w:r w:rsidRPr="00A05575">
        <w:rPr>
          <w:rFonts w:cs="Times New Roman"/>
          <w:i/>
          <w:sz w:val="20"/>
          <w:szCs w:val="20"/>
        </w:rPr>
        <w:t xml:space="preserve">Chiunque divulga notizie false, esagerate o tendenziose, ovvero pone in essere operazioni simulate o altri artifici idonei a provocare una sensibile alterazione del prezzo di strumenti finanziari o l'apparenza di un mercato attivo dei medesimi, è punito con la reclusione fino a tre anni e con la multa da uno a cinquanta milioni di lire. </w:t>
      </w:r>
    </w:p>
    <w:p w14:paraId="57973DB3"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 xml:space="preserve">Se si verifica la sensibile alterazione del prezzo o l'apparenza di un mercato attivo, le pene sono aumentate. </w:t>
      </w:r>
    </w:p>
    <w:p w14:paraId="6026EE5E"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 xml:space="preserve">Le pene sono raddoppiate: </w:t>
      </w:r>
    </w:p>
    <w:p w14:paraId="50936D08"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a) nei casi previsti dal terzo comma dell'articolo 501 del codice penale;</w:t>
      </w:r>
    </w:p>
    <w:p w14:paraId="42CAA06D" w14:textId="77777777" w:rsidR="003C19F1" w:rsidRPr="00A05575" w:rsidRDefault="003C19F1" w:rsidP="00CA0328">
      <w:pPr>
        <w:widowControl w:val="0"/>
        <w:autoSpaceDE w:val="0"/>
        <w:autoSpaceDN w:val="0"/>
        <w:adjustRightInd w:val="0"/>
        <w:ind w:firstLine="454"/>
        <w:rPr>
          <w:rFonts w:cs="Times New Roman"/>
          <w:i/>
          <w:sz w:val="20"/>
          <w:szCs w:val="20"/>
        </w:rPr>
      </w:pPr>
      <w:r w:rsidRPr="00A05575">
        <w:rPr>
          <w:rFonts w:cs="Times New Roman"/>
          <w:i/>
          <w:sz w:val="20"/>
          <w:szCs w:val="20"/>
        </w:rPr>
        <w:t>b) se il fatto è connesso dagli azionisti che esercitano il controllo a norma dell'articolo 93, dagli amministratori, dai liquidatori, dai direttori generali, dai dirigenti, dai sindaci e dai revisori dei conti di imprese di investimento o di banche che esercitano servizi di investimento, ovvero da agenti di cambio o da componenti o dipendenti della CONSOB;</w:t>
      </w:r>
    </w:p>
    <w:p w14:paraId="72794B3D" w14:textId="53A4A648" w:rsidR="003C19F1" w:rsidRPr="00A05575" w:rsidRDefault="003C19F1" w:rsidP="00CA0328">
      <w:pPr>
        <w:widowControl w:val="0"/>
        <w:autoSpaceDE w:val="0"/>
        <w:autoSpaceDN w:val="0"/>
        <w:adjustRightInd w:val="0"/>
        <w:ind w:firstLine="454"/>
        <w:rPr>
          <w:rFonts w:cs="Times New Roman"/>
          <w:sz w:val="20"/>
          <w:szCs w:val="20"/>
        </w:rPr>
      </w:pPr>
      <w:r w:rsidRPr="00A05575">
        <w:rPr>
          <w:rFonts w:cs="Times New Roman"/>
          <w:i/>
          <w:sz w:val="20"/>
          <w:szCs w:val="20"/>
        </w:rPr>
        <w:t>c) se il fatto è commesso a mezzo della stampa o mediante altri mezzi di comunicazione di massa</w:t>
      </w:r>
      <w:r>
        <w:rPr>
          <w:rFonts w:cs="Times New Roman"/>
          <w:i/>
          <w:sz w:val="20"/>
          <w:szCs w:val="20"/>
        </w:rPr>
        <w:t>»</w:t>
      </w:r>
      <w:r w:rsidRPr="00A05575">
        <w:rPr>
          <w:rFonts w:cs="Times New Roman"/>
          <w:sz w:val="20"/>
          <w:szCs w:val="20"/>
        </w:rPr>
        <w:t>.</w:t>
      </w:r>
    </w:p>
  </w:footnote>
  <w:footnote w:id="72">
    <w:p w14:paraId="3248549A" w14:textId="5AF9F8D6" w:rsidR="003C19F1" w:rsidRPr="00A05575" w:rsidRDefault="003C19F1" w:rsidP="00CA0328">
      <w:pPr>
        <w:pStyle w:val="Testonotaapidipagina"/>
        <w:ind w:firstLine="454"/>
      </w:pPr>
      <w:r w:rsidRPr="00A05575">
        <w:rPr>
          <w:rStyle w:val="Rimandonotaapidipagina"/>
        </w:rPr>
        <w:footnoteRef/>
      </w:r>
      <w:r>
        <w:t xml:space="preserve"> </w:t>
      </w:r>
      <w:r w:rsidRPr="003C19F1">
        <w:rPr>
          <w:smallCaps/>
        </w:rPr>
        <w:t>Cottino</w:t>
      </w:r>
      <w:r w:rsidRPr="00A05575">
        <w:t xml:space="preserve">, </w:t>
      </w:r>
      <w:r w:rsidRPr="00F34CCC">
        <w:rPr>
          <w:i/>
        </w:rPr>
        <w:t>La legge Draghi e le società quotate in borsa</w:t>
      </w:r>
      <w:r w:rsidRPr="00A05575">
        <w:t>, Torino, 1999, 416 e s.</w:t>
      </w:r>
      <w:r>
        <w:t xml:space="preserve"> </w:t>
      </w:r>
    </w:p>
  </w:footnote>
  <w:footnote w:id="73">
    <w:p w14:paraId="1BE27216" w14:textId="2A21F080" w:rsidR="003C19F1" w:rsidRPr="00A05575" w:rsidRDefault="003C19F1" w:rsidP="00CA0328">
      <w:pPr>
        <w:pStyle w:val="Testonotaapidipagina"/>
        <w:ind w:firstLine="454"/>
      </w:pPr>
      <w:r w:rsidRPr="00A05575">
        <w:rPr>
          <w:rStyle w:val="Rimandonotaapidipagina"/>
        </w:rPr>
        <w:footnoteRef/>
      </w:r>
      <w:r w:rsidRPr="00A05575">
        <w:t xml:space="preserve"> Cfr. </w:t>
      </w:r>
      <w:r w:rsidRPr="00931BDD">
        <w:rPr>
          <w:smallCaps/>
        </w:rPr>
        <w:t>Pedrazzi</w:t>
      </w:r>
      <w:r w:rsidRPr="00A05575">
        <w:t xml:space="preserve">, </w:t>
      </w:r>
      <w:r w:rsidRPr="00F34CCC">
        <w:rPr>
          <w:i/>
        </w:rPr>
        <w:t>Turbativa dei mercati</w:t>
      </w:r>
      <w:r w:rsidRPr="00A05575">
        <w:t xml:space="preserve">, in </w:t>
      </w:r>
      <w:r w:rsidRPr="00F34CCC">
        <w:rPr>
          <w:i/>
        </w:rPr>
        <w:t>Diritto penale, vol. IV Scritti di diritto penale dell’economia</w:t>
      </w:r>
      <w:r w:rsidRPr="00A05575">
        <w:t>, cit., 130 e s.</w:t>
      </w:r>
    </w:p>
  </w:footnote>
  <w:footnote w:id="74">
    <w:p w14:paraId="593F7D2C" w14:textId="663E7BC1" w:rsidR="003C19F1" w:rsidRPr="00A05575" w:rsidRDefault="003C19F1" w:rsidP="00CA0328">
      <w:pPr>
        <w:pStyle w:val="Testonotaapidipagina"/>
        <w:ind w:firstLine="454"/>
      </w:pPr>
      <w:r w:rsidRPr="00A05575">
        <w:rPr>
          <w:rStyle w:val="Rimandonotaapidipagina"/>
        </w:rPr>
        <w:footnoteRef/>
      </w:r>
      <w:r w:rsidRPr="00A05575">
        <w:t xml:space="preserve"> Tale modifica è stata criticata da Pedrazzi in </w:t>
      </w:r>
      <w:r w:rsidRPr="00931BDD">
        <w:rPr>
          <w:smallCaps/>
        </w:rPr>
        <w:t>Pedrazzi</w:t>
      </w:r>
      <w:r w:rsidRPr="00A05575">
        <w:t xml:space="preserve">, </w:t>
      </w:r>
      <w:r w:rsidRPr="00F34CCC">
        <w:rPr>
          <w:i/>
        </w:rPr>
        <w:t>Turbativa dei mercati</w:t>
      </w:r>
      <w:r w:rsidRPr="00A05575">
        <w:t xml:space="preserve">, in </w:t>
      </w:r>
      <w:r w:rsidRPr="00F34CCC">
        <w:rPr>
          <w:i/>
        </w:rPr>
        <w:t>Diritto penale, vol. IV Scritti di diritto penale dell’economia</w:t>
      </w:r>
      <w:r w:rsidRPr="00A05575">
        <w:t>, cit., 130 e s., secondo il quale l’aggravante puniva il maggior disvalore del fatto commesso dagli esponenti della società emittente, il quale disvalore giustificava anche la previsione della forma di aggiotaggio societario contenuta nell’originario art. 2628 c.c.</w:t>
      </w:r>
    </w:p>
  </w:footnote>
  <w:footnote w:id="75">
    <w:p w14:paraId="73B1F040" w14:textId="2BF5AF51" w:rsidR="003C19F1" w:rsidRPr="00A05575" w:rsidRDefault="003C19F1" w:rsidP="00E551DA">
      <w:pPr>
        <w:pStyle w:val="Testonotaapidipagina"/>
        <w:ind w:firstLine="454"/>
        <w:rPr>
          <w:rStyle w:val="Enfasidelicata"/>
        </w:rPr>
      </w:pPr>
      <w:r w:rsidRPr="00A05575">
        <w:rPr>
          <w:rStyle w:val="Rimandonotaapidipagina"/>
        </w:rPr>
        <w:footnoteRef/>
      </w:r>
      <w:r w:rsidRPr="00A05575">
        <w:t xml:space="preserve"> Si riporta il testo di tale articolo: </w:t>
      </w:r>
      <w:r>
        <w:rPr>
          <w:rStyle w:val="Enfasidelicata"/>
          <w:i/>
        </w:rPr>
        <w:t>«</w:t>
      </w:r>
      <w:r w:rsidRPr="00A05575">
        <w:rPr>
          <w:i/>
        </w:rPr>
        <w:t>Chiunque divulghi, in qualunque forma, notizie false, esagerate o tendenziose circa aziende esercenti il credito, atte a turbare il mercato dei titoli e dei valori, o a indurre il panico nei depositanti, o comunque a menomare la fiducia del pubblico, è punito con le pene stabilite dall'art. 501 del codice penale</w:t>
      </w:r>
      <w:r>
        <w:rPr>
          <w:i/>
        </w:rPr>
        <w:t>»</w:t>
      </w:r>
      <w:r w:rsidRPr="00A05575">
        <w:t>.</w:t>
      </w:r>
    </w:p>
  </w:footnote>
  <w:footnote w:id="76">
    <w:p w14:paraId="0C5ABD57" w14:textId="1BA2229E" w:rsidR="003C19F1" w:rsidRPr="008117E3" w:rsidRDefault="003C19F1" w:rsidP="00E551DA">
      <w:pPr>
        <w:widowControl w:val="0"/>
        <w:autoSpaceDE w:val="0"/>
        <w:autoSpaceDN w:val="0"/>
        <w:adjustRightInd w:val="0"/>
        <w:ind w:firstLine="454"/>
        <w:rPr>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Si riporta il testo di tale articolo: </w:t>
      </w:r>
      <w:r>
        <w:rPr>
          <w:rFonts w:cs="Times New Roman"/>
          <w:i/>
          <w:sz w:val="20"/>
          <w:szCs w:val="20"/>
        </w:rPr>
        <w:t>«</w:t>
      </w:r>
      <w:r w:rsidRPr="00A05575">
        <w:rPr>
          <w:rFonts w:cs="Times New Roman"/>
          <w:i/>
          <w:sz w:val="20"/>
          <w:szCs w:val="20"/>
        </w:rPr>
        <w:t>Chiunque divulga, in qualunque forma, notizie false, esagerate o tendenziose riguardanti banche o g</w:t>
      </w:r>
      <w:r w:rsidRPr="008117E3">
        <w:rPr>
          <w:rFonts w:cs="Times New Roman"/>
          <w:i/>
          <w:sz w:val="20"/>
          <w:szCs w:val="20"/>
        </w:rPr>
        <w:t>ruppi bancari, atte a turbare i mercati finanziari o a indurre il panico nei depositanti, o comunque a menomare la fiducia del pubblico, è punito con le pene stabilite dall'art. 501 del codice penale. Restano fermi l'art. 501 del codice penale, l'art. 2628 del codice civile e l'art. 5 della legge 17 maggio 1991, n. 157</w:t>
      </w:r>
      <w:r>
        <w:rPr>
          <w:rFonts w:cs="Times New Roman"/>
          <w:i/>
          <w:sz w:val="20"/>
          <w:szCs w:val="20"/>
        </w:rPr>
        <w:t>»</w:t>
      </w:r>
      <w:r w:rsidRPr="008117E3">
        <w:rPr>
          <w:rFonts w:cs="Times New Roman"/>
          <w:sz w:val="20"/>
          <w:szCs w:val="20"/>
        </w:rPr>
        <w:t>.</w:t>
      </w:r>
    </w:p>
  </w:footnote>
  <w:footnote w:id="77">
    <w:p w14:paraId="101E7046" w14:textId="77777777" w:rsidR="003C19F1" w:rsidRPr="00A05575" w:rsidRDefault="003C19F1" w:rsidP="00E551DA">
      <w:pPr>
        <w:pStyle w:val="Testonotaapidipagina"/>
        <w:ind w:firstLine="454"/>
      </w:pPr>
      <w:r w:rsidRPr="00A05575">
        <w:rPr>
          <w:rStyle w:val="Rimandonotaapidipagina"/>
        </w:rPr>
        <w:footnoteRef/>
      </w:r>
      <w:r w:rsidRPr="00A05575">
        <w:t xml:space="preserve"> Nel testo originario del 1942.</w:t>
      </w:r>
    </w:p>
  </w:footnote>
  <w:footnote w:id="78">
    <w:p w14:paraId="7AC5F3B6" w14:textId="5DEBEB81" w:rsidR="003C19F1" w:rsidRPr="00A05575" w:rsidRDefault="003C19F1" w:rsidP="00E551DA">
      <w:pPr>
        <w:pStyle w:val="Testonotaapidipagina"/>
        <w:ind w:firstLine="454"/>
      </w:pPr>
      <w:r w:rsidRPr="00A05575">
        <w:rPr>
          <w:rStyle w:val="Rimandonotaapidipagina"/>
        </w:rPr>
        <w:footnoteRef/>
      </w:r>
      <w:r w:rsidRPr="00A05575">
        <w:t xml:space="preserve"> Sulla successione di tali norme penali del tempo, con applicazione dell’art. 15 delle preleggi, vedi </w:t>
      </w:r>
      <w:r w:rsidRPr="00AA57DC">
        <w:rPr>
          <w:smallCaps/>
        </w:rPr>
        <w:t>Palombi-Pica</w:t>
      </w:r>
      <w:r w:rsidRPr="00A05575">
        <w:t xml:space="preserve">, </w:t>
      </w:r>
      <w:r w:rsidRPr="00F34CCC">
        <w:rPr>
          <w:i/>
        </w:rPr>
        <w:t>Diritto penale dell’economia e dell’impresa</w:t>
      </w:r>
      <w:r w:rsidRPr="00A05575">
        <w:t xml:space="preserve">, </w:t>
      </w:r>
      <w:r>
        <w:t>cit.</w:t>
      </w:r>
      <w:r w:rsidRPr="00A05575">
        <w:t>, 1243 e ss.</w:t>
      </w:r>
    </w:p>
  </w:footnote>
  <w:footnote w:id="79">
    <w:p w14:paraId="1723757F" w14:textId="5D001DB4" w:rsidR="003C19F1" w:rsidRPr="00A05575" w:rsidRDefault="003C19F1" w:rsidP="00E551DA">
      <w:pPr>
        <w:pStyle w:val="Testonotaapidipagina"/>
        <w:ind w:firstLine="454"/>
      </w:pPr>
      <w:r w:rsidRPr="00A05575">
        <w:rPr>
          <w:rStyle w:val="Rimandonotaapidipagina"/>
        </w:rPr>
        <w:footnoteRef/>
      </w:r>
      <w:r w:rsidRPr="00A05575">
        <w:t xml:space="preserve"> Cfr. </w:t>
      </w:r>
      <w:r w:rsidRPr="00931BDD">
        <w:rPr>
          <w:smallCaps/>
        </w:rPr>
        <w:t>Pedrazzi</w:t>
      </w:r>
      <w:r w:rsidRPr="00A05575">
        <w:t xml:space="preserve">, </w:t>
      </w:r>
      <w:r w:rsidRPr="00F34CCC">
        <w:rPr>
          <w:i/>
        </w:rPr>
        <w:t>Turbativa dei mercati</w:t>
      </w:r>
      <w:r w:rsidRPr="00A05575">
        <w:t xml:space="preserve">, in </w:t>
      </w:r>
      <w:r w:rsidRPr="00F34CCC">
        <w:rPr>
          <w:i/>
        </w:rPr>
        <w:t>Diritto penale, vol. IV Scritti di diritto penale dell’economia</w:t>
      </w:r>
      <w:r w:rsidRPr="00A05575">
        <w:t>, cit., 136 (in nota).</w:t>
      </w:r>
    </w:p>
  </w:footnote>
  <w:footnote w:id="80">
    <w:p w14:paraId="465F3DA9" w14:textId="2BFC4B66" w:rsidR="003C19F1" w:rsidRPr="00A05575" w:rsidRDefault="003C19F1" w:rsidP="00E551DA">
      <w:pPr>
        <w:pStyle w:val="Testonotaapidipagina"/>
        <w:ind w:firstLine="454"/>
      </w:pPr>
      <w:r w:rsidRPr="00A05575">
        <w:rPr>
          <w:rStyle w:val="Rimandonotaapidipagina"/>
        </w:rPr>
        <w:footnoteRef/>
      </w:r>
      <w:r w:rsidRPr="00A05575">
        <w:t xml:space="preserve"> </w:t>
      </w:r>
      <w:r w:rsidRPr="00931BDD">
        <w:rPr>
          <w:smallCaps/>
        </w:rPr>
        <w:t>Molinaro</w:t>
      </w:r>
      <w:r w:rsidRPr="00A05575">
        <w:t xml:space="preserve">, voce </w:t>
      </w:r>
      <w:r w:rsidRPr="00F34CCC">
        <w:rPr>
          <w:i/>
        </w:rPr>
        <w:t>Aggiotaggio e manipolazione di mercato</w:t>
      </w:r>
      <w:r w:rsidRPr="00A05575">
        <w:t xml:space="preserve">, in </w:t>
      </w:r>
      <w:r w:rsidRPr="00F34CCC">
        <w:rPr>
          <w:i/>
        </w:rPr>
        <w:t>Enciclopedia giuridica Treccani</w:t>
      </w:r>
      <w:r w:rsidRPr="00A05575">
        <w:t xml:space="preserve">, cit., 3 e </w:t>
      </w:r>
      <w:r>
        <w:t xml:space="preserve">s.; </w:t>
      </w:r>
      <w:r w:rsidRPr="003C19F1">
        <w:rPr>
          <w:smallCaps/>
        </w:rPr>
        <w:t>Bondi</w:t>
      </w:r>
      <w:r w:rsidRPr="00A05575">
        <w:t xml:space="preserve">, </w:t>
      </w:r>
      <w:r w:rsidRPr="00F34CCC">
        <w:rPr>
          <w:i/>
        </w:rPr>
        <w:t>Problematiche dell’aggiotaggio. Questioni interpretative e necessità di riforma</w:t>
      </w:r>
      <w:r w:rsidRPr="00A05575">
        <w:t>, Torino, 2000.</w:t>
      </w:r>
    </w:p>
  </w:footnote>
  <w:footnote w:id="81">
    <w:p w14:paraId="4ECD62E5" w14:textId="215F514C" w:rsidR="003C19F1" w:rsidRPr="00A05575" w:rsidRDefault="003C19F1" w:rsidP="00E551DA">
      <w:pPr>
        <w:widowControl w:val="0"/>
        <w:autoSpaceDE w:val="0"/>
        <w:autoSpaceDN w:val="0"/>
        <w:adjustRightInd w:val="0"/>
        <w:ind w:firstLine="454"/>
        <w:rPr>
          <w:rFonts w:cs="Times New Roman"/>
          <w:bCs/>
          <w:i/>
          <w:iCs/>
          <w:sz w:val="20"/>
          <w:szCs w:val="20"/>
        </w:rPr>
      </w:pPr>
      <w:r w:rsidRPr="00A05575">
        <w:rPr>
          <w:rStyle w:val="Rimandonotaapidipagina"/>
          <w:rFonts w:cs="Times New Roman"/>
          <w:sz w:val="20"/>
          <w:szCs w:val="20"/>
        </w:rPr>
        <w:footnoteRef/>
      </w:r>
      <w:r w:rsidRPr="00A05575">
        <w:rPr>
          <w:rFonts w:cs="Times New Roman"/>
          <w:sz w:val="20"/>
          <w:szCs w:val="20"/>
        </w:rPr>
        <w:t xml:space="preserve"> </w:t>
      </w:r>
      <w:r w:rsidRPr="00A05575">
        <w:rPr>
          <w:rFonts w:cs="Times New Roman"/>
          <w:bCs/>
          <w:iCs/>
          <w:sz w:val="20"/>
          <w:szCs w:val="20"/>
        </w:rPr>
        <w:t>Art. 2637 del c.c., come riformulato ad opera del d.lgs. 11 aprile 2002, n. 61:</w:t>
      </w:r>
      <w:r w:rsidRPr="00A05575">
        <w:rPr>
          <w:rFonts w:cs="Times New Roman"/>
          <w:bCs/>
          <w:i/>
          <w:iCs/>
          <w:sz w:val="20"/>
          <w:szCs w:val="20"/>
        </w:rPr>
        <w:t xml:space="preserve"> </w:t>
      </w:r>
      <w:r>
        <w:rPr>
          <w:rFonts w:cs="Times New Roman"/>
          <w:bCs/>
          <w:i/>
          <w:iCs/>
          <w:sz w:val="20"/>
          <w:szCs w:val="20"/>
        </w:rPr>
        <w:t>«</w:t>
      </w:r>
      <w:r w:rsidRPr="00A05575">
        <w:rPr>
          <w:rFonts w:cs="Times New Roman"/>
          <w:bCs/>
          <w:i/>
          <w:iCs/>
          <w:sz w:val="20"/>
          <w:szCs w:val="20"/>
        </w:rPr>
        <w:t>Chiunque diffonde notizie false, ovvero pone in essere operazioni simulate o altri artifici concretamente idonei a provocare una sensibile alterazione del prezzo di strumenti finanziari, quotati o non quotati, ovvero ad incidere in modo significativo sull'affidamento che il pubblico ripone nella stabilità patrimoniale di banche o di gruppi bancari, è punito con la pena della reclusione da uno a cinque anni</w:t>
      </w:r>
      <w:r>
        <w:rPr>
          <w:rFonts w:cs="Times New Roman"/>
          <w:bCs/>
          <w:i/>
          <w:iCs/>
          <w:sz w:val="20"/>
          <w:szCs w:val="20"/>
        </w:rPr>
        <w:t>»</w:t>
      </w:r>
      <w:r w:rsidRPr="00A05575">
        <w:rPr>
          <w:rFonts w:cs="Times New Roman"/>
          <w:bCs/>
          <w:i/>
          <w:iCs/>
          <w:sz w:val="20"/>
          <w:szCs w:val="20"/>
        </w:rPr>
        <w:t>.</w:t>
      </w:r>
    </w:p>
  </w:footnote>
  <w:footnote w:id="82">
    <w:p w14:paraId="3857D79D" w14:textId="49CEC512" w:rsidR="003C19F1" w:rsidRPr="00A05575" w:rsidRDefault="003C19F1" w:rsidP="00E551DA">
      <w:pPr>
        <w:pStyle w:val="Testonotaapidipagina"/>
        <w:ind w:firstLine="454"/>
      </w:pPr>
      <w:r w:rsidRPr="00A05575">
        <w:rPr>
          <w:rStyle w:val="Rimandonotaapidipagina"/>
        </w:rPr>
        <w:footnoteRef/>
      </w:r>
      <w:r>
        <w:t xml:space="preserve"> </w:t>
      </w:r>
      <w:r w:rsidRPr="003C19F1">
        <w:rPr>
          <w:smallCaps/>
        </w:rPr>
        <w:t>Seminara</w:t>
      </w:r>
      <w:r w:rsidRPr="00A05575">
        <w:t xml:space="preserve">, </w:t>
      </w:r>
      <w:r w:rsidRPr="00F34CCC">
        <w:rPr>
          <w:i/>
        </w:rPr>
        <w:t>L’aggiotaggio (art. 2637)</w:t>
      </w:r>
      <w:r w:rsidRPr="00A05575">
        <w:t xml:space="preserve">, in </w:t>
      </w:r>
      <w:r w:rsidRPr="003C19F1">
        <w:rPr>
          <w:smallCaps/>
        </w:rPr>
        <w:t>Giarda-Seminara</w:t>
      </w:r>
      <w:r w:rsidRPr="00A05575">
        <w:t xml:space="preserve"> (a cura di), </w:t>
      </w:r>
      <w:r w:rsidRPr="00F34CCC">
        <w:rPr>
          <w:i/>
        </w:rPr>
        <w:t>I nuovi reati societari: diritto e processo</w:t>
      </w:r>
      <w:r w:rsidRPr="00A05575">
        <w:t>, Padova, 2002, 544 e ss.</w:t>
      </w:r>
    </w:p>
  </w:footnote>
  <w:footnote w:id="83">
    <w:p w14:paraId="1CF77582" w14:textId="522D0690" w:rsidR="003C19F1" w:rsidRPr="00A05575" w:rsidRDefault="003C19F1" w:rsidP="00E551DA">
      <w:pPr>
        <w:pStyle w:val="Testonotaapidipagina"/>
        <w:ind w:firstLine="454"/>
      </w:pPr>
      <w:r w:rsidRPr="00A05575">
        <w:rPr>
          <w:rStyle w:val="Rimandonotaapidipagina"/>
        </w:rPr>
        <w:footnoteRef/>
      </w:r>
      <w:r w:rsidRPr="00A05575">
        <w:t xml:space="preserve"> Su tale punto vedi </w:t>
      </w:r>
      <w:r w:rsidRPr="003C19F1">
        <w:rPr>
          <w:smallCaps/>
        </w:rPr>
        <w:t>Seminara</w:t>
      </w:r>
      <w:r w:rsidRPr="00A05575">
        <w:t xml:space="preserve">, </w:t>
      </w:r>
      <w:r w:rsidRPr="00F34CCC">
        <w:rPr>
          <w:i/>
        </w:rPr>
        <w:t>L’aggiotaggio (art. 2637)</w:t>
      </w:r>
      <w:r w:rsidRPr="00A05575">
        <w:t xml:space="preserve">, in </w:t>
      </w:r>
      <w:r w:rsidRPr="003C19F1">
        <w:rPr>
          <w:smallCaps/>
        </w:rPr>
        <w:t>Giarda-Seminara</w:t>
      </w:r>
      <w:r w:rsidRPr="00A05575">
        <w:t xml:space="preserve"> (a cura di), </w:t>
      </w:r>
      <w:r w:rsidRPr="005236B8">
        <w:rPr>
          <w:i/>
        </w:rPr>
        <w:t>I nuovi reati societari: diritto e processo</w:t>
      </w:r>
      <w:r>
        <w:t xml:space="preserve">, cit., 545; </w:t>
      </w:r>
      <w:r w:rsidRPr="003C19F1">
        <w:rPr>
          <w:smallCaps/>
        </w:rPr>
        <w:t>Melchionda</w:t>
      </w:r>
      <w:r w:rsidRPr="00A05575">
        <w:t xml:space="preserve">, </w:t>
      </w:r>
      <w:r w:rsidRPr="005236B8">
        <w:rPr>
          <w:i/>
        </w:rPr>
        <w:t>Aggiotaggio e manipolazione di mercato</w:t>
      </w:r>
      <w:r w:rsidRPr="00A05575">
        <w:t xml:space="preserve">, in </w:t>
      </w:r>
      <w:r w:rsidRPr="003C19F1">
        <w:rPr>
          <w:smallCaps/>
        </w:rPr>
        <w:t>Lanzi-Cadoppi</w:t>
      </w:r>
      <w:r w:rsidRPr="00A05575">
        <w:t xml:space="preserve"> (a cura di), </w:t>
      </w:r>
      <w:r w:rsidRPr="005236B8">
        <w:rPr>
          <w:i/>
        </w:rPr>
        <w:t>I reati societari</w:t>
      </w:r>
      <w:r w:rsidRPr="00A05575">
        <w:t>, Padova, 2007.</w:t>
      </w:r>
    </w:p>
  </w:footnote>
  <w:footnote w:id="84">
    <w:p w14:paraId="5C63BD0A" w14:textId="40810D8E" w:rsidR="003C19F1" w:rsidRPr="00A05575" w:rsidRDefault="003C19F1" w:rsidP="00E551DA">
      <w:pPr>
        <w:pStyle w:val="Testonotaapidipagina"/>
        <w:ind w:firstLine="454"/>
      </w:pPr>
      <w:r w:rsidRPr="00A05575">
        <w:rPr>
          <w:rStyle w:val="Rimandonotaapidipagina"/>
        </w:rPr>
        <w:footnoteRef/>
      </w:r>
      <w:r w:rsidRPr="00A05575">
        <w:t xml:space="preserve"> </w:t>
      </w:r>
      <w:r w:rsidRPr="003C19F1">
        <w:rPr>
          <w:smallCaps/>
        </w:rPr>
        <w:t>Seminara</w:t>
      </w:r>
      <w:r w:rsidRPr="00A05575">
        <w:t xml:space="preserve">, </w:t>
      </w:r>
      <w:r w:rsidRPr="005236B8">
        <w:rPr>
          <w:i/>
        </w:rPr>
        <w:t>L’aggiotaggio (art. 2637)</w:t>
      </w:r>
      <w:r w:rsidRPr="00A05575">
        <w:t>,</w:t>
      </w:r>
      <w:r w:rsidRPr="005236B8">
        <w:t xml:space="preserve"> </w:t>
      </w:r>
      <w:r w:rsidRPr="00A05575">
        <w:t xml:space="preserve">in </w:t>
      </w:r>
      <w:r w:rsidRPr="003C19F1">
        <w:rPr>
          <w:smallCaps/>
        </w:rPr>
        <w:t>Giarda-Seminara</w:t>
      </w:r>
      <w:r w:rsidRPr="00A05575">
        <w:t xml:space="preserve"> (a cura di), </w:t>
      </w:r>
      <w:r w:rsidRPr="005236B8">
        <w:rPr>
          <w:i/>
        </w:rPr>
        <w:t>I nuovi reati societari: diritto e processo</w:t>
      </w:r>
      <w:r>
        <w:t>,</w:t>
      </w:r>
      <w:r w:rsidRPr="00A05575">
        <w:t xml:space="preserve"> cit., 570, anche in considerazione della pronuncia della Corte cost., 23 marzo 1983, n. 73, che ha svuotato il significato del dolo specifico dell’articolo 501 c.p. in quanto ogni condotta di aggiotaggio è finalizzata al lucro e questo è insito nel dolo dell’agente.</w:t>
      </w:r>
    </w:p>
  </w:footnote>
  <w:footnote w:id="85">
    <w:p w14:paraId="7958070A" w14:textId="00734A9C" w:rsidR="003C19F1" w:rsidRPr="00A05575" w:rsidRDefault="003C19F1" w:rsidP="00E551DA">
      <w:pPr>
        <w:pStyle w:val="Testonotaapidipagina"/>
        <w:ind w:firstLine="454"/>
      </w:pPr>
      <w:r w:rsidRPr="00A05575">
        <w:rPr>
          <w:rStyle w:val="Rimandonotaapidipagina"/>
        </w:rPr>
        <w:footnoteRef/>
      </w:r>
      <w:r w:rsidRPr="00A05575">
        <w:t xml:space="preserve"> Tale tesi è sostenuta da </w:t>
      </w:r>
      <w:r w:rsidRPr="003C19F1">
        <w:rPr>
          <w:smallCaps/>
        </w:rPr>
        <w:t>Mucciarelli</w:t>
      </w:r>
      <w:r w:rsidRPr="00A05575">
        <w:t xml:space="preserve">, </w:t>
      </w:r>
      <w:r w:rsidRPr="005236B8">
        <w:rPr>
          <w:i/>
        </w:rPr>
        <w:t>Aggiotaggio</w:t>
      </w:r>
      <w:r w:rsidRPr="00A05575">
        <w:t xml:space="preserve">, in </w:t>
      </w:r>
      <w:r w:rsidRPr="003C19F1">
        <w:rPr>
          <w:smallCaps/>
        </w:rPr>
        <w:t>Alessandri</w:t>
      </w:r>
      <w:r w:rsidRPr="00A05575">
        <w:t xml:space="preserve"> (a cura di), </w:t>
      </w:r>
      <w:r w:rsidRPr="005236B8">
        <w:rPr>
          <w:i/>
        </w:rPr>
        <w:t>Il nuovo diritto penale delle società</w:t>
      </w:r>
      <w:r w:rsidRPr="00A05575">
        <w:t>, Milano 2002.</w:t>
      </w:r>
    </w:p>
  </w:footnote>
  <w:footnote w:id="86">
    <w:p w14:paraId="411305BE" w14:textId="63506B8E" w:rsidR="003C19F1" w:rsidRPr="00A05575" w:rsidRDefault="003C19F1" w:rsidP="00E551DA">
      <w:pPr>
        <w:pStyle w:val="Testonotaapidipagina"/>
        <w:ind w:firstLine="454"/>
      </w:pPr>
      <w:r w:rsidRPr="00A05575">
        <w:rPr>
          <w:rStyle w:val="Rimandonotaapidipagina"/>
        </w:rPr>
        <w:footnoteRef/>
      </w:r>
      <w:r w:rsidRPr="00A05575">
        <w:t xml:space="preserve"> A tal proposito sempre </w:t>
      </w:r>
      <w:r w:rsidRPr="003C19F1">
        <w:rPr>
          <w:smallCaps/>
        </w:rPr>
        <w:t>Seminara</w:t>
      </w:r>
      <w:r w:rsidRPr="00A05575">
        <w:t xml:space="preserve">, </w:t>
      </w:r>
      <w:r w:rsidRPr="005236B8">
        <w:rPr>
          <w:i/>
        </w:rPr>
        <w:t>L’aggiotaggio (art. 2637)</w:t>
      </w:r>
      <w:r w:rsidRPr="00A05575">
        <w:t xml:space="preserve">, in </w:t>
      </w:r>
      <w:r w:rsidRPr="003C19F1">
        <w:rPr>
          <w:smallCaps/>
        </w:rPr>
        <w:t>Giarda-Seminara</w:t>
      </w:r>
      <w:r w:rsidRPr="00A05575">
        <w:t xml:space="preserve"> (a cura di), </w:t>
      </w:r>
      <w:r w:rsidRPr="005236B8">
        <w:rPr>
          <w:i/>
        </w:rPr>
        <w:t>I nuovi reati societari: diritto e processo</w:t>
      </w:r>
      <w:r w:rsidRPr="00A05575">
        <w:t>, cit., 546.</w:t>
      </w:r>
    </w:p>
  </w:footnote>
  <w:footnote w:id="87">
    <w:p w14:paraId="11D00E49" w14:textId="0CE2F7DC" w:rsidR="003C19F1" w:rsidRPr="00A05575" w:rsidRDefault="003C19F1" w:rsidP="00E551DA">
      <w:pPr>
        <w:widowControl w:val="0"/>
        <w:autoSpaceDE w:val="0"/>
        <w:autoSpaceDN w:val="0"/>
        <w:adjustRightInd w:val="0"/>
        <w:ind w:firstLine="454"/>
        <w:rPr>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Come emerge dalla stessa relazione al d.lgs. n. 61 del 2002, </w:t>
      </w:r>
      <w:r>
        <w:rPr>
          <w:rFonts w:cs="Times New Roman"/>
          <w:i/>
          <w:sz w:val="20"/>
          <w:szCs w:val="20"/>
        </w:rPr>
        <w:t>«</w:t>
      </w:r>
      <w:r w:rsidRPr="00A05575">
        <w:rPr>
          <w:rFonts w:cs="Times New Roman"/>
          <w:i/>
          <w:sz w:val="20"/>
          <w:szCs w:val="20"/>
        </w:rPr>
        <w:t>nella descrizione del fatto punibile la norma ha subito, in conformità con i principii della legge delega, una notevole semplificazione ed un affinamento sul piano della concreta lesività del fatto</w:t>
      </w:r>
      <w:r>
        <w:rPr>
          <w:rFonts w:cs="Times New Roman"/>
          <w:i/>
          <w:sz w:val="20"/>
          <w:szCs w:val="20"/>
        </w:rPr>
        <w:t>»</w:t>
      </w:r>
      <w:r w:rsidRPr="00A05575">
        <w:rPr>
          <w:rFonts w:cs="Times New Roman"/>
          <w:sz w:val="20"/>
          <w:szCs w:val="20"/>
        </w:rPr>
        <w:t>.</w:t>
      </w:r>
    </w:p>
  </w:footnote>
  <w:footnote w:id="88">
    <w:p w14:paraId="75C0CC33" w14:textId="426D8C22" w:rsidR="003C19F1" w:rsidRPr="00A05575" w:rsidRDefault="003C19F1" w:rsidP="00E551DA">
      <w:pPr>
        <w:widowControl w:val="0"/>
        <w:autoSpaceDE w:val="0"/>
        <w:autoSpaceDN w:val="0"/>
        <w:adjustRightInd w:val="0"/>
        <w:ind w:firstLine="454"/>
        <w:rPr>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Cfr. Corte cost., 14 dicembre 1972, n. 199, secondo cui le notizie false, esagerate o tendenziose rappresentano </w:t>
      </w:r>
      <w:r>
        <w:rPr>
          <w:rFonts w:cs="Times New Roman"/>
          <w:i/>
          <w:sz w:val="20"/>
          <w:szCs w:val="20"/>
        </w:rPr>
        <w:t>«</w:t>
      </w:r>
      <w:r w:rsidRPr="00A05575">
        <w:rPr>
          <w:rFonts w:cs="Times New Roman"/>
          <w:i/>
          <w:sz w:val="20"/>
          <w:szCs w:val="20"/>
        </w:rPr>
        <w:t>una sorta di endiadi con la quale veniva indicata ogni specie di notizie che, in qualche modo, rappresentino la realtà in modo alterato</w:t>
      </w:r>
      <w:r>
        <w:rPr>
          <w:rFonts w:cs="Times New Roman"/>
          <w:i/>
          <w:sz w:val="20"/>
          <w:szCs w:val="20"/>
        </w:rPr>
        <w:t>»</w:t>
      </w:r>
      <w:r w:rsidRPr="00A05575">
        <w:rPr>
          <w:rFonts w:cs="Times New Roman"/>
          <w:sz w:val="20"/>
          <w:szCs w:val="20"/>
        </w:rPr>
        <w:t xml:space="preserve">. </w:t>
      </w:r>
    </w:p>
  </w:footnote>
  <w:footnote w:id="89">
    <w:p w14:paraId="0066BDE3" w14:textId="39211E04" w:rsidR="003C19F1" w:rsidRPr="00A05575" w:rsidRDefault="003C19F1" w:rsidP="00E551DA">
      <w:pPr>
        <w:pStyle w:val="Testonotaapidipagina"/>
        <w:ind w:firstLine="454"/>
      </w:pPr>
      <w:r w:rsidRPr="00A05575">
        <w:rPr>
          <w:rStyle w:val="Rimandonotaapidipagina"/>
        </w:rPr>
        <w:footnoteRef/>
      </w:r>
      <w:r w:rsidRPr="00A05575">
        <w:t xml:space="preserve"> Cfr. </w:t>
      </w:r>
      <w:r w:rsidRPr="003C19F1">
        <w:rPr>
          <w:smallCaps/>
        </w:rPr>
        <w:t>Seminara</w:t>
      </w:r>
      <w:r w:rsidRPr="00A05575">
        <w:t xml:space="preserve">, </w:t>
      </w:r>
      <w:r w:rsidRPr="005236B8">
        <w:rPr>
          <w:i/>
        </w:rPr>
        <w:t>L’aggiotaggio (art. 2637)</w:t>
      </w:r>
      <w:r w:rsidRPr="00A05575">
        <w:t xml:space="preserve">, in </w:t>
      </w:r>
      <w:r w:rsidRPr="003C19F1">
        <w:rPr>
          <w:smallCaps/>
        </w:rPr>
        <w:t>Giarda-Seminara</w:t>
      </w:r>
      <w:r w:rsidRPr="00A05575">
        <w:t xml:space="preserve"> (a cura di), </w:t>
      </w:r>
      <w:r w:rsidRPr="005236B8">
        <w:rPr>
          <w:i/>
        </w:rPr>
        <w:t>I nuovi reati societari: diritto e processo</w:t>
      </w:r>
      <w:r w:rsidRPr="00A05575">
        <w:t>, cit., 557.</w:t>
      </w:r>
    </w:p>
  </w:footnote>
  <w:footnote w:id="90">
    <w:p w14:paraId="008F5C99" w14:textId="17CFB4DF" w:rsidR="003C19F1" w:rsidRPr="00A05575" w:rsidRDefault="003C19F1" w:rsidP="00E551DA">
      <w:pPr>
        <w:pStyle w:val="Testonotaapidipagina"/>
        <w:ind w:firstLine="454"/>
      </w:pPr>
      <w:r w:rsidRPr="00A05575">
        <w:rPr>
          <w:rStyle w:val="Rimandonotaapidipagina"/>
        </w:rPr>
        <w:footnoteRef/>
      </w:r>
      <w:r w:rsidRPr="00A05575">
        <w:t xml:space="preserve"> Si riporta il testo del secondo comma dell’art. 49 c.p.: </w:t>
      </w:r>
      <w:r>
        <w:rPr>
          <w:i/>
        </w:rPr>
        <w:t>«</w:t>
      </w:r>
      <w:r w:rsidRPr="00A05575">
        <w:rPr>
          <w:i/>
        </w:rPr>
        <w:t>La punibilità è altresì esclusa quando, per la inidoneità dell'azione o per l'inesistenza dell'oggetto di essa, è impossibile l'evento dannoso o pericoloso</w:t>
      </w:r>
      <w:r>
        <w:rPr>
          <w:i/>
        </w:rPr>
        <w:t>»</w:t>
      </w:r>
      <w:r w:rsidRPr="00A05575">
        <w:rPr>
          <w:i/>
        </w:rPr>
        <w:t>.</w:t>
      </w:r>
    </w:p>
  </w:footnote>
  <w:footnote w:id="91">
    <w:p w14:paraId="16E016BA" w14:textId="1C98566A" w:rsidR="003C19F1" w:rsidRPr="00A05575" w:rsidRDefault="003C19F1" w:rsidP="00E551DA">
      <w:pPr>
        <w:pStyle w:val="Testonotaapidipagina"/>
        <w:ind w:firstLine="454"/>
      </w:pPr>
      <w:r w:rsidRPr="00A05575">
        <w:rPr>
          <w:rStyle w:val="Rimandonotaapidipagina"/>
        </w:rPr>
        <w:footnoteRef/>
      </w:r>
      <w:r w:rsidRPr="00A05575">
        <w:t xml:space="preserve"> Cfr. </w:t>
      </w:r>
      <w:r w:rsidRPr="003C19F1">
        <w:rPr>
          <w:smallCaps/>
        </w:rPr>
        <w:t>Seminara</w:t>
      </w:r>
      <w:r w:rsidRPr="00A05575">
        <w:t xml:space="preserve">, </w:t>
      </w:r>
      <w:r w:rsidRPr="005236B8">
        <w:rPr>
          <w:i/>
        </w:rPr>
        <w:t>L’aggiotaggio (art. 2637)</w:t>
      </w:r>
      <w:r w:rsidRPr="00A05575">
        <w:t xml:space="preserve">, in </w:t>
      </w:r>
      <w:r w:rsidRPr="003C19F1">
        <w:rPr>
          <w:smallCaps/>
        </w:rPr>
        <w:t>Giarda-Seminara</w:t>
      </w:r>
      <w:r w:rsidRPr="00A05575">
        <w:t xml:space="preserve"> (a cura di), </w:t>
      </w:r>
      <w:r w:rsidRPr="005236B8">
        <w:rPr>
          <w:i/>
        </w:rPr>
        <w:t>I nuovi reati societari: diritto e processo</w:t>
      </w:r>
      <w:r w:rsidRPr="00A05575">
        <w:t>, cit., 556.</w:t>
      </w:r>
    </w:p>
  </w:footnote>
  <w:footnote w:id="92">
    <w:p w14:paraId="2DD4A7D0" w14:textId="72865A76" w:rsidR="003C19F1" w:rsidRPr="00A05575" w:rsidRDefault="003C19F1" w:rsidP="00E551DA">
      <w:pPr>
        <w:pStyle w:val="Testonotaapidipagina"/>
        <w:ind w:firstLine="454"/>
      </w:pPr>
      <w:r w:rsidRPr="00A05575">
        <w:rPr>
          <w:rStyle w:val="Rimandonotaapidipagina"/>
        </w:rPr>
        <w:footnoteRef/>
      </w:r>
      <w:r w:rsidRPr="00A05575">
        <w:t xml:space="preserve"> Per tale definizione si veda </w:t>
      </w:r>
      <w:r w:rsidRPr="003C19F1">
        <w:rPr>
          <w:smallCaps/>
        </w:rPr>
        <w:t>Consulich</w:t>
      </w:r>
      <w:r w:rsidRPr="00A05575">
        <w:t xml:space="preserve">, </w:t>
      </w:r>
      <w:r w:rsidRPr="005236B8">
        <w:rPr>
          <w:i/>
        </w:rPr>
        <w:t>La giustizia e il mercato. Miti e realtà della tutela penale dell’investimento mobiliare</w:t>
      </w:r>
      <w:r w:rsidRPr="00A05575">
        <w:t>, Milano, 2010, 183.</w:t>
      </w:r>
    </w:p>
  </w:footnote>
  <w:footnote w:id="93">
    <w:p w14:paraId="5236A53D" w14:textId="451241CE" w:rsidR="003C19F1" w:rsidRPr="00A05575" w:rsidRDefault="003C19F1" w:rsidP="00E551DA">
      <w:pPr>
        <w:pStyle w:val="Testonotaapidipagina"/>
        <w:ind w:firstLine="454"/>
      </w:pPr>
      <w:r w:rsidRPr="00A05575">
        <w:rPr>
          <w:rStyle w:val="Rimandonotaapidipagina"/>
        </w:rPr>
        <w:footnoteRef/>
      </w:r>
      <w:r w:rsidRPr="00A05575">
        <w:t xml:space="preserve"> </w:t>
      </w:r>
      <w:r w:rsidRPr="003C19F1">
        <w:rPr>
          <w:smallCaps/>
        </w:rPr>
        <w:t>Consulich</w:t>
      </w:r>
      <w:r w:rsidRPr="00A05575">
        <w:t xml:space="preserve">, </w:t>
      </w:r>
      <w:r w:rsidRPr="005236B8">
        <w:rPr>
          <w:i/>
        </w:rPr>
        <w:t>La giustizia e il mercato. Miti e realtà della tutela penale dell’investimento mobiliare</w:t>
      </w:r>
      <w:r w:rsidRPr="00A05575">
        <w:t>, cit., 241 e ss.</w:t>
      </w:r>
    </w:p>
  </w:footnote>
  <w:footnote w:id="94">
    <w:p w14:paraId="156DE45D" w14:textId="1A390D45" w:rsidR="003C19F1" w:rsidRPr="00A05575" w:rsidRDefault="003C19F1" w:rsidP="00E551DA">
      <w:pPr>
        <w:widowControl w:val="0"/>
        <w:autoSpaceDE w:val="0"/>
        <w:autoSpaceDN w:val="0"/>
        <w:adjustRightInd w:val="0"/>
        <w:ind w:firstLine="454"/>
        <w:rPr>
          <w:rFonts w:cs="Times New Roman"/>
          <w:bCs/>
          <w:i/>
          <w:sz w:val="20"/>
          <w:szCs w:val="20"/>
          <w:lang w:val="en-US"/>
        </w:rPr>
      </w:pPr>
      <w:r w:rsidRPr="00A05575">
        <w:rPr>
          <w:rStyle w:val="Rimandonotaapidipagina"/>
          <w:rFonts w:cs="Times New Roman"/>
          <w:sz w:val="20"/>
          <w:szCs w:val="20"/>
        </w:rPr>
        <w:footnoteRef/>
      </w:r>
      <w:r w:rsidRPr="00A05575">
        <w:rPr>
          <w:rFonts w:cs="Times New Roman"/>
          <w:sz w:val="20"/>
          <w:szCs w:val="20"/>
        </w:rPr>
        <w:t xml:space="preserve"> Si riporta il testo in nota della section 10(b) del Security and Exchange Act</w:t>
      </w:r>
      <w:r w:rsidRPr="00A05575">
        <w:rPr>
          <w:rFonts w:cs="Times New Roman"/>
          <w:sz w:val="20"/>
          <w:szCs w:val="20"/>
          <w:lang w:val="en-US"/>
        </w:rPr>
        <w:t xml:space="preserve">: </w:t>
      </w:r>
      <w:r>
        <w:rPr>
          <w:rFonts w:cs="Times New Roman"/>
          <w:bCs/>
          <w:i/>
          <w:sz w:val="20"/>
          <w:szCs w:val="20"/>
          <w:lang w:val="en-US"/>
        </w:rPr>
        <w:t>«</w:t>
      </w:r>
      <w:r w:rsidRPr="00A05575">
        <w:rPr>
          <w:rFonts w:cs="Times New Roman"/>
          <w:bCs/>
          <w:i/>
          <w:sz w:val="20"/>
          <w:szCs w:val="20"/>
          <w:lang w:val="en-US"/>
        </w:rPr>
        <w:t>It shall be unlawful for any person, directly or indirectly,[…]</w:t>
      </w:r>
    </w:p>
    <w:p w14:paraId="33DE770A" w14:textId="0D2CBE2C" w:rsidR="003C19F1" w:rsidRPr="00A05575" w:rsidRDefault="003C19F1" w:rsidP="00E551DA">
      <w:pPr>
        <w:widowControl w:val="0"/>
        <w:autoSpaceDE w:val="0"/>
        <w:autoSpaceDN w:val="0"/>
        <w:adjustRightInd w:val="0"/>
        <w:ind w:firstLine="454"/>
        <w:rPr>
          <w:rFonts w:cs="Times New Roman"/>
          <w:bCs/>
          <w:i/>
          <w:sz w:val="20"/>
          <w:szCs w:val="20"/>
          <w:lang w:val="en-US"/>
        </w:rPr>
      </w:pPr>
      <w:r w:rsidRPr="00A05575">
        <w:rPr>
          <w:rFonts w:cs="Times New Roman"/>
          <w:bCs/>
          <w:i/>
          <w:sz w:val="20"/>
          <w:szCs w:val="20"/>
          <w:lang w:val="en-US"/>
        </w:rPr>
        <w:t>(b) To use or employ, in connection with the purchase or sale of any security registered on a national securities exchange or any security not so registered, or any securities-based swap agreement any manipulative or deceptive device or contrivance in contravention of such rules and regulations as the Commission may prescribe as necessary or appropriate in the public interest or for the protection of investors</w:t>
      </w:r>
      <w:r>
        <w:rPr>
          <w:rFonts w:cs="Times New Roman"/>
          <w:bCs/>
          <w:i/>
          <w:sz w:val="20"/>
          <w:szCs w:val="20"/>
          <w:lang w:val="en-US"/>
        </w:rPr>
        <w:t>»</w:t>
      </w:r>
      <w:r w:rsidRPr="00A05575">
        <w:rPr>
          <w:rFonts w:cs="Times New Roman"/>
          <w:bCs/>
          <w:i/>
          <w:sz w:val="20"/>
          <w:szCs w:val="20"/>
          <w:lang w:val="en-US"/>
        </w:rPr>
        <w:t>.</w:t>
      </w:r>
    </w:p>
  </w:footnote>
  <w:footnote w:id="95">
    <w:p w14:paraId="78897766" w14:textId="295D5A08" w:rsidR="003C19F1" w:rsidRPr="00A05575" w:rsidRDefault="003C19F1" w:rsidP="00E551DA">
      <w:pPr>
        <w:pStyle w:val="Testonotaapidipagina"/>
        <w:ind w:firstLine="454"/>
      </w:pPr>
      <w:r w:rsidRPr="00A05575">
        <w:rPr>
          <w:rStyle w:val="Rimandonotaapidipagina"/>
        </w:rPr>
        <w:footnoteRef/>
      </w:r>
      <w:r w:rsidRPr="00A05575">
        <w:t xml:space="preserve"> Per tale analisi cfr. </w:t>
      </w:r>
      <w:r w:rsidRPr="003C19F1">
        <w:rPr>
          <w:smallCaps/>
        </w:rPr>
        <w:t>Consulich</w:t>
      </w:r>
      <w:r w:rsidRPr="00A05575">
        <w:t xml:space="preserve">, </w:t>
      </w:r>
      <w:r w:rsidRPr="002C27F8">
        <w:rPr>
          <w:i/>
        </w:rPr>
        <w:t>La giustizia e il mercato. Miti e realtà della tutela penale dell’investimento mobiliare</w:t>
      </w:r>
      <w:r w:rsidRPr="00A05575">
        <w:t>, cit., 244 e ss.</w:t>
      </w:r>
    </w:p>
  </w:footnote>
  <w:footnote w:id="96">
    <w:p w14:paraId="4CB669CF" w14:textId="76156EA3" w:rsidR="003C19F1" w:rsidRDefault="003C19F1" w:rsidP="00E551DA">
      <w:pPr>
        <w:pStyle w:val="Testonotaapidipagina"/>
        <w:ind w:firstLine="454"/>
      </w:pPr>
      <w:r>
        <w:rPr>
          <w:rStyle w:val="Rimandonotaapidipagina"/>
        </w:rPr>
        <w:footnoteRef/>
      </w:r>
      <w:r>
        <w:t xml:space="preserve"> Si fa qui riferimento alla sintesi dell’applicazione giurisprudenziale della fattispecie operata in </w:t>
      </w:r>
      <w:r w:rsidRPr="003C19F1">
        <w:rPr>
          <w:smallCaps/>
        </w:rPr>
        <w:t>Ferrarini</w:t>
      </w:r>
      <w:r w:rsidRPr="00A05575">
        <w:t xml:space="preserve">, </w:t>
      </w:r>
      <w:r w:rsidRPr="002C27F8">
        <w:rPr>
          <w:i/>
        </w:rPr>
        <w:t>La nuova disciplina europea dell’abuso di mercato</w:t>
      </w:r>
      <w:r w:rsidRPr="00A05575">
        <w:t>,</w:t>
      </w:r>
      <w:r>
        <w:t xml:space="preserve"> in </w:t>
      </w:r>
      <w:r w:rsidRPr="002C27F8">
        <w:rPr>
          <w:i/>
        </w:rPr>
        <w:t>Rivista delle società</w:t>
      </w:r>
      <w:r>
        <w:t xml:space="preserve">, 2004, 59 e </w:t>
      </w:r>
      <w:r w:rsidRPr="00A05575">
        <w:t>s.</w:t>
      </w:r>
    </w:p>
  </w:footnote>
  <w:footnote w:id="97">
    <w:p w14:paraId="0D05F774" w14:textId="10D7D66A" w:rsidR="003C19F1" w:rsidRPr="00A05575" w:rsidRDefault="003C19F1" w:rsidP="00E551DA">
      <w:pPr>
        <w:pStyle w:val="Testonotaapidipagina"/>
        <w:ind w:firstLine="454"/>
      </w:pPr>
      <w:r w:rsidRPr="00A05575">
        <w:rPr>
          <w:rStyle w:val="Rimandonotaapidipagina"/>
        </w:rPr>
        <w:footnoteRef/>
      </w:r>
      <w:r w:rsidRPr="00A05575">
        <w:t xml:space="preserve"> Per le critiche qui riportate cfr. </w:t>
      </w:r>
      <w:r w:rsidRPr="003C19F1">
        <w:rPr>
          <w:smallCaps/>
        </w:rPr>
        <w:t>Consulich</w:t>
      </w:r>
      <w:r w:rsidRPr="00A05575">
        <w:t xml:space="preserve">, </w:t>
      </w:r>
      <w:r w:rsidRPr="002C27F8">
        <w:rPr>
          <w:i/>
        </w:rPr>
        <w:t>La giustizia e il mercato. Miti e realtà della tutela penale dell’investimento mobiliare</w:t>
      </w:r>
      <w:r w:rsidRPr="00A05575">
        <w:t>, cit., 245 e ss.</w:t>
      </w:r>
    </w:p>
  </w:footnote>
  <w:footnote w:id="98">
    <w:p w14:paraId="38F2DB08" w14:textId="77777777" w:rsidR="003C19F1" w:rsidRPr="00A05575" w:rsidRDefault="003C19F1" w:rsidP="00E551DA">
      <w:pPr>
        <w:pStyle w:val="Testonotaapidipagina"/>
        <w:ind w:firstLine="454"/>
      </w:pPr>
      <w:r w:rsidRPr="00A05575">
        <w:rPr>
          <w:rStyle w:val="Rimandonotaapidipagina"/>
        </w:rPr>
        <w:footnoteRef/>
      </w:r>
      <w:r w:rsidRPr="00A05575">
        <w:t xml:space="preserve"> Cfr. Secondo Considerando della Direttiva 2003/6/CE.</w:t>
      </w:r>
    </w:p>
  </w:footnote>
  <w:footnote w:id="99">
    <w:p w14:paraId="57C99D18" w14:textId="43DC3D73" w:rsidR="003C19F1" w:rsidRPr="00A05575" w:rsidRDefault="003C19F1" w:rsidP="00E551DA">
      <w:pPr>
        <w:pStyle w:val="Testonotaapidipagina"/>
        <w:ind w:firstLine="454"/>
      </w:pPr>
      <w:r w:rsidRPr="00A05575">
        <w:rPr>
          <w:rStyle w:val="Rimandonotaapidipagina"/>
        </w:rPr>
        <w:footnoteRef/>
      </w:r>
      <w:r w:rsidRPr="00A05575">
        <w:t xml:space="preserve"> Vedi il quarto e quinto Considerando della Direttiva appena citata, descritto peraltro accuratamente da </w:t>
      </w:r>
      <w:r w:rsidRPr="003C19F1">
        <w:rPr>
          <w:smallCaps/>
        </w:rPr>
        <w:t>Preziosi</w:t>
      </w:r>
      <w:r w:rsidRPr="00A05575">
        <w:t xml:space="preserve">, </w:t>
      </w:r>
      <w:r w:rsidRPr="002C27F8">
        <w:rPr>
          <w:i/>
        </w:rPr>
        <w:t>La manipolazione di mercato nella cornice dell’ordinamento comunitario e del diritto penale italiano</w:t>
      </w:r>
      <w:r w:rsidRPr="00A05575">
        <w:t>, Bari, 2008, 24 e ss..</w:t>
      </w:r>
    </w:p>
  </w:footnote>
  <w:footnote w:id="100">
    <w:p w14:paraId="6C9C7DBA" w14:textId="77777777" w:rsidR="003C19F1" w:rsidRPr="00A05575" w:rsidRDefault="003C19F1" w:rsidP="00E551DA">
      <w:pPr>
        <w:pStyle w:val="Testonotaapidipagina"/>
        <w:ind w:firstLine="454"/>
      </w:pPr>
      <w:r w:rsidRPr="00A05575">
        <w:rPr>
          <w:rStyle w:val="Rimandonotaapidipagina"/>
        </w:rPr>
        <w:footnoteRef/>
      </w:r>
      <w:r w:rsidRPr="00A05575">
        <w:t xml:space="preserve"> Il Comitato europeo dei valori mobiliari (European securities committee - ESC) è presieduto da un membro della Commissione e composto da rappresentanti degli Stati Membri. Ha funzioni sia consultive sia di coadiuvazione della Commissione nell’esercizio delle sue funzioni di regolamentazione di secondo livello.</w:t>
      </w:r>
    </w:p>
  </w:footnote>
  <w:footnote w:id="101">
    <w:p w14:paraId="4A904ADF" w14:textId="752BDFDB" w:rsidR="003C19F1" w:rsidRPr="00A05575" w:rsidRDefault="003C19F1" w:rsidP="00E551DA">
      <w:pPr>
        <w:pStyle w:val="Testonotaapidipagina"/>
        <w:ind w:firstLine="454"/>
      </w:pPr>
      <w:r w:rsidRPr="00A05575">
        <w:rPr>
          <w:rStyle w:val="Rimandonotaapidipagina"/>
        </w:rPr>
        <w:footnoteRef/>
      </w:r>
      <w:r w:rsidRPr="00A05575">
        <w:t xml:space="preserve"> Inizialmente le competenze erano attribuite al Comitato delle autorità europee di regolamentazione dei valori mobiliari (</w:t>
      </w:r>
      <w:r w:rsidRPr="00E551DA">
        <w:rPr>
          <w:i/>
        </w:rPr>
        <w:t>European securities regulators committee</w:t>
      </w:r>
      <w:r w:rsidRPr="00A05575">
        <w:t xml:space="preserve"> - CESR), la quale aveva solo funzioni consultive di natura tecnica a garanzia della trasparenza dei processi decisionali rispetto agli operatori professionali del mercato. A seguito del Regolamento 1095/2010, il CESR è stato sostituito dall’Autorità europea degli strumenti finanziari e dei mercati (</w:t>
      </w:r>
      <w:r w:rsidRPr="00E551DA">
        <w:rPr>
          <w:i/>
        </w:rPr>
        <w:t>European securities and markets autority</w:t>
      </w:r>
      <w:r w:rsidRPr="00A05575">
        <w:t xml:space="preserve"> - ESMA), a cui sono stati attribuiti poteri sostanzialmente regolatori per le questioni di natura esclusivamente tecni</w:t>
      </w:r>
      <w:r>
        <w:t>ca, oltre a poteri di vigilanza e,</w:t>
      </w:r>
      <w:r w:rsidRPr="00A05575">
        <w:t xml:space="preserve"> in casi eccezionali</w:t>
      </w:r>
      <w:r>
        <w:t>,</w:t>
      </w:r>
      <w:r w:rsidRPr="00A05575">
        <w:t xml:space="preserve"> anche </w:t>
      </w:r>
      <w:r>
        <w:t>di intervento diretto</w:t>
      </w:r>
      <w:r w:rsidRPr="00A05575">
        <w:t>. Per approfondire la riforma dell’autorità europea di settore vedi</w:t>
      </w:r>
      <w:r>
        <w:t xml:space="preserve"> </w:t>
      </w:r>
      <w:r w:rsidRPr="003C19F1">
        <w:rPr>
          <w:smallCaps/>
        </w:rPr>
        <w:t>Troiano</w:t>
      </w:r>
      <w:r w:rsidRPr="00A05575">
        <w:t xml:space="preserve">, </w:t>
      </w:r>
      <w:r w:rsidRPr="002C27F8">
        <w:rPr>
          <w:i/>
        </w:rPr>
        <w:t>Le competenze dell’European securities and markets autority</w:t>
      </w:r>
      <w:r w:rsidRPr="00A05575">
        <w:t xml:space="preserve">, in </w:t>
      </w:r>
      <w:r w:rsidRPr="003C19F1">
        <w:rPr>
          <w:smallCaps/>
        </w:rPr>
        <w:t>Bilancia</w:t>
      </w:r>
      <w:r w:rsidRPr="00A05575">
        <w:t xml:space="preserve">, </w:t>
      </w:r>
      <w:r w:rsidRPr="002C27F8">
        <w:rPr>
          <w:i/>
        </w:rPr>
        <w:t>La regolazione dei mercati di settore tra autorità indipendenti nazionali e organismi europei</w:t>
      </w:r>
      <w:r w:rsidRPr="00A05575">
        <w:t>, Milano, 2012, 19 e ss.</w:t>
      </w:r>
    </w:p>
  </w:footnote>
  <w:footnote w:id="102">
    <w:p w14:paraId="1C95220F" w14:textId="77777777" w:rsidR="003C19F1" w:rsidRPr="00A05575" w:rsidRDefault="003C19F1" w:rsidP="00AB0199">
      <w:pPr>
        <w:pStyle w:val="Testonotaapidipagina"/>
        <w:ind w:firstLine="454"/>
      </w:pPr>
      <w:r w:rsidRPr="00A05575">
        <w:rPr>
          <w:rStyle w:val="Rimandonotaapidipagina"/>
        </w:rPr>
        <w:footnoteRef/>
      </w:r>
      <w:r w:rsidRPr="00A05575">
        <w:t xml:space="preserve"> La procedura di regolamentazione è stata disciplinata in via generale dall’art. 5 della Decisione 1999/468/CE</w:t>
      </w:r>
    </w:p>
  </w:footnote>
  <w:footnote w:id="103">
    <w:p w14:paraId="20485325" w14:textId="77777777" w:rsidR="003C19F1" w:rsidRPr="00A05575" w:rsidRDefault="003C19F1" w:rsidP="00AB0199">
      <w:pPr>
        <w:pStyle w:val="Testonotaapidipagina"/>
        <w:ind w:firstLine="454"/>
      </w:pPr>
      <w:r w:rsidRPr="00A05575">
        <w:rPr>
          <w:rStyle w:val="Rimandonotaapidipagina"/>
        </w:rPr>
        <w:footnoteRef/>
      </w:r>
      <w:r w:rsidRPr="00A05575">
        <w:t xml:space="preserve"> Tale procedura è st</w:t>
      </w:r>
      <w:r>
        <w:t>ata utilizzata per adottare le D</w:t>
      </w:r>
      <w:r w:rsidRPr="00A05575">
        <w:t>irettive</w:t>
      </w:r>
      <w:r>
        <w:t xml:space="preserve"> 2003/124/CE e 2003/125/CE, il R</w:t>
      </w:r>
      <w:r w:rsidRPr="00A05575">
        <w:t xml:space="preserve">egolamento CE 2273/2003 e la </w:t>
      </w:r>
      <w:r>
        <w:t>D</w:t>
      </w:r>
      <w:r w:rsidRPr="00A05575">
        <w:t>irettiva 20</w:t>
      </w:r>
      <w:r>
        <w:t>0</w:t>
      </w:r>
      <w:r w:rsidRPr="00A05575">
        <w:t>0/72/CE.</w:t>
      </w:r>
    </w:p>
  </w:footnote>
  <w:footnote w:id="104">
    <w:p w14:paraId="11AA870A" w14:textId="2370822E" w:rsidR="003C19F1" w:rsidRPr="00A05575" w:rsidRDefault="003C19F1" w:rsidP="00AB0199">
      <w:pPr>
        <w:pStyle w:val="Testonotaapidipagina"/>
        <w:ind w:firstLine="454"/>
      </w:pPr>
      <w:r w:rsidRPr="00A05575">
        <w:rPr>
          <w:rStyle w:val="Rimandonotaapidipagina"/>
        </w:rPr>
        <w:footnoteRef/>
      </w:r>
      <w:r>
        <w:t xml:space="preserve"> A tal proposito cfr</w:t>
      </w:r>
      <w:r w:rsidRPr="00A05575">
        <w:t xml:space="preserve">. </w:t>
      </w:r>
      <w:r w:rsidRPr="003C19F1">
        <w:rPr>
          <w:smallCaps/>
        </w:rPr>
        <w:t>Preziosi</w:t>
      </w:r>
      <w:r w:rsidRPr="00A05575">
        <w:t xml:space="preserve">, </w:t>
      </w:r>
      <w:r w:rsidRPr="002C27F8">
        <w:rPr>
          <w:i/>
        </w:rPr>
        <w:t>La manipolazione di mercato nella cornice dell’ordinamento comunitario e del diritto penale italiano</w:t>
      </w:r>
      <w:r w:rsidRPr="00A05575">
        <w:t xml:space="preserve">, </w:t>
      </w:r>
      <w:r>
        <w:t>cit.</w:t>
      </w:r>
      <w:r w:rsidRPr="00A05575">
        <w:t>, 49 e ss., secondo il quale tale complesso meccanismo di consultazione garantisce la democraticità al sistema necessaria in particolar modo nel diritto penale e che si estrinseca tradizionalmente, ma non limita, al principio di legalità.</w:t>
      </w:r>
    </w:p>
  </w:footnote>
  <w:footnote w:id="105">
    <w:p w14:paraId="560B40E1" w14:textId="77777777" w:rsidR="003C19F1" w:rsidRPr="00A05575" w:rsidRDefault="003C19F1" w:rsidP="00E551DA">
      <w:pPr>
        <w:pStyle w:val="Testonotaapidipagina"/>
        <w:ind w:firstLine="454"/>
      </w:pPr>
      <w:r w:rsidRPr="00A05575">
        <w:rPr>
          <w:rStyle w:val="Rimandonotaapidipagina"/>
        </w:rPr>
        <w:footnoteRef/>
      </w:r>
      <w:r w:rsidRPr="00A05575">
        <w:t xml:space="preserve"> Dunque al terzo livello vengono attuati dalle autorità nazionali gli impegni che i loro rappresentanti hanno precedentemente preso.</w:t>
      </w:r>
    </w:p>
  </w:footnote>
  <w:footnote w:id="106">
    <w:p w14:paraId="08C4E510" w14:textId="71C29E36" w:rsidR="003C19F1" w:rsidRPr="00A05575" w:rsidRDefault="003C19F1" w:rsidP="00E551DA">
      <w:pPr>
        <w:pStyle w:val="Testonotaapidipagina"/>
        <w:ind w:firstLine="454"/>
      </w:pPr>
      <w:r w:rsidRPr="00A05575">
        <w:rPr>
          <w:rStyle w:val="Rimandonotaapidipagina"/>
        </w:rPr>
        <w:footnoteRef/>
      </w:r>
      <w:r w:rsidRPr="00A05575">
        <w:t xml:space="preserve"> </w:t>
      </w:r>
      <w:r w:rsidRPr="003C19F1">
        <w:rPr>
          <w:smallCaps/>
        </w:rPr>
        <w:t>Consulich</w:t>
      </w:r>
      <w:r w:rsidRPr="00A05575">
        <w:t xml:space="preserve">, </w:t>
      </w:r>
      <w:r w:rsidRPr="002C27F8">
        <w:rPr>
          <w:i/>
        </w:rPr>
        <w:t>La giustizia e il mercato. Miti e realtà della tutela penale dell’investimento mobiliare</w:t>
      </w:r>
      <w:r w:rsidRPr="00A05575">
        <w:t>, cit., 164.</w:t>
      </w:r>
    </w:p>
  </w:footnote>
  <w:footnote w:id="107">
    <w:p w14:paraId="04944AD1" w14:textId="7BF3EDA4" w:rsidR="003C19F1" w:rsidRPr="00A05575" w:rsidRDefault="003C19F1" w:rsidP="00E551DA">
      <w:pPr>
        <w:widowControl w:val="0"/>
        <w:autoSpaceDE w:val="0"/>
        <w:autoSpaceDN w:val="0"/>
        <w:adjustRightInd w:val="0"/>
        <w:ind w:right="102" w:firstLine="454"/>
        <w:rPr>
          <w:rFonts w:cs="Times New Roman"/>
          <w:color w:val="141414"/>
          <w:sz w:val="20"/>
          <w:szCs w:val="20"/>
        </w:rPr>
      </w:pPr>
      <w:r w:rsidRPr="00A05575">
        <w:rPr>
          <w:rStyle w:val="Rimandonotaapidipagina"/>
          <w:rFonts w:cs="Times New Roman"/>
          <w:sz w:val="20"/>
          <w:szCs w:val="20"/>
        </w:rPr>
        <w:footnoteRef/>
      </w:r>
      <w:r w:rsidRPr="00A05575">
        <w:rPr>
          <w:rFonts w:cs="Times New Roman"/>
          <w:sz w:val="20"/>
          <w:szCs w:val="20"/>
        </w:rPr>
        <w:t xml:space="preserve"> Si riporta la nuova formulazione dell’art. 2637 c.c., tutt’ora vigente: </w:t>
      </w:r>
      <w:r>
        <w:rPr>
          <w:rFonts w:cs="Times New Roman"/>
          <w:i/>
          <w:sz w:val="20"/>
          <w:szCs w:val="20"/>
        </w:rPr>
        <w:t>«</w:t>
      </w:r>
      <w:r w:rsidRPr="00A05575">
        <w:rPr>
          <w:rFonts w:cs="Times New Roman"/>
          <w:i/>
          <w:color w:val="141414"/>
          <w:sz w:val="20"/>
          <w:szCs w:val="20"/>
        </w:rPr>
        <w:t>Chiunque diffonde notizie false, ovvero pone in essere operazioni simulate o altri artifici concretamente idonei a provocare una sensibile alterazione del prezzo di strumenti finanziari non quotati o per i quali non è stata presentata una richiesta di ammissione alle negoziazioni in un mercato regolamentato, ovvero ad incidere in modo significativo sull'affidamento che il pubblico ripone nella stabilità patrimoniale di banche o di gruppi bancari, è punito con la pena della reclusione da uno a cinque anni</w:t>
      </w:r>
      <w:r>
        <w:rPr>
          <w:rFonts w:cs="Times New Roman"/>
          <w:i/>
          <w:sz w:val="20"/>
          <w:szCs w:val="20"/>
        </w:rPr>
        <w:t>»</w:t>
      </w:r>
      <w:r w:rsidRPr="00A05575">
        <w:rPr>
          <w:rFonts w:cs="Times New Roman"/>
          <w:i/>
          <w:sz w:val="20"/>
          <w:szCs w:val="20"/>
        </w:rPr>
        <w:t>.</w:t>
      </w:r>
    </w:p>
  </w:footnote>
  <w:footnote w:id="108">
    <w:p w14:paraId="4806E9A6" w14:textId="363AE22E" w:rsidR="003C19F1" w:rsidRPr="00A05575" w:rsidRDefault="003C19F1" w:rsidP="00E551DA">
      <w:pPr>
        <w:pStyle w:val="Testonotaapidipagina"/>
        <w:ind w:firstLine="454"/>
      </w:pPr>
      <w:r w:rsidRPr="00A05575">
        <w:rPr>
          <w:rStyle w:val="Rimandonotaapidipagina"/>
        </w:rPr>
        <w:footnoteRef/>
      </w:r>
      <w:r>
        <w:t xml:space="preserve"> </w:t>
      </w:r>
      <w:r w:rsidR="00370818" w:rsidRPr="00370818">
        <w:rPr>
          <w:smallCaps/>
        </w:rPr>
        <w:t>D’Alessandro</w:t>
      </w:r>
      <w:r w:rsidRPr="00A05575">
        <w:t xml:space="preserve">, </w:t>
      </w:r>
      <w:r w:rsidRPr="002C27F8">
        <w:rPr>
          <w:i/>
        </w:rPr>
        <w:t>L’aggiotaggio e la manipolazione di mercato</w:t>
      </w:r>
      <w:r w:rsidRPr="00A05575">
        <w:t xml:space="preserve">, in </w:t>
      </w:r>
      <w:r w:rsidR="00370818" w:rsidRPr="00370818">
        <w:rPr>
          <w:smallCaps/>
        </w:rPr>
        <w:t>Canzio</w:t>
      </w:r>
      <w:r w:rsidRPr="00370818">
        <w:rPr>
          <w:smallCaps/>
        </w:rPr>
        <w:t>-C</w:t>
      </w:r>
      <w:r w:rsidR="00370818" w:rsidRPr="00370818">
        <w:rPr>
          <w:smallCaps/>
        </w:rPr>
        <w:t>erqua</w:t>
      </w:r>
      <w:r w:rsidRPr="00370818">
        <w:rPr>
          <w:smallCaps/>
        </w:rPr>
        <w:t>-L</w:t>
      </w:r>
      <w:r w:rsidR="00370818" w:rsidRPr="00370818">
        <w:rPr>
          <w:smallCaps/>
        </w:rPr>
        <w:t>upária</w:t>
      </w:r>
      <w:r w:rsidRPr="00A05575">
        <w:t xml:space="preserve"> (a cura di), </w:t>
      </w:r>
      <w:r w:rsidRPr="002C27F8">
        <w:rPr>
          <w:i/>
        </w:rPr>
        <w:t>Diritto penale delle società – Tomo primo</w:t>
      </w:r>
      <w:r w:rsidRPr="00A05575">
        <w:t>, Assago, 2014, 824.</w:t>
      </w:r>
    </w:p>
  </w:footnote>
  <w:footnote w:id="109">
    <w:p w14:paraId="4C3E6836" w14:textId="77777777" w:rsidR="003C19F1" w:rsidRPr="00A05575" w:rsidRDefault="003C19F1" w:rsidP="00E551DA">
      <w:pPr>
        <w:widowControl w:val="0"/>
        <w:autoSpaceDE w:val="0"/>
        <w:autoSpaceDN w:val="0"/>
        <w:adjustRightInd w:val="0"/>
        <w:ind w:firstLine="454"/>
        <w:rPr>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w:t>
      </w:r>
      <w:r>
        <w:rPr>
          <w:rFonts w:cs="Times New Roman"/>
          <w:sz w:val="20"/>
          <w:szCs w:val="20"/>
        </w:rPr>
        <w:t>Per</w:t>
      </w:r>
      <w:r w:rsidRPr="00A05575">
        <w:rPr>
          <w:rFonts w:cs="Times New Roman"/>
          <w:sz w:val="20"/>
          <w:szCs w:val="20"/>
        </w:rPr>
        <w:t xml:space="preserve"> il testo dell’art. 185, come modificato dalla legge comunitaria per il 2005</w:t>
      </w:r>
      <w:r>
        <w:rPr>
          <w:rFonts w:cs="Times New Roman"/>
          <w:sz w:val="20"/>
          <w:szCs w:val="20"/>
        </w:rPr>
        <w:t>, si rinvia al secondo capitolo.</w:t>
      </w:r>
    </w:p>
  </w:footnote>
  <w:footnote w:id="110">
    <w:p w14:paraId="1130B078" w14:textId="26F976E7" w:rsidR="003C19F1" w:rsidRPr="00A05575" w:rsidRDefault="003C19F1" w:rsidP="00E551DA">
      <w:pPr>
        <w:pStyle w:val="Testonotaapidipagina"/>
        <w:ind w:firstLine="454"/>
      </w:pPr>
      <w:r w:rsidRPr="00A05575">
        <w:rPr>
          <w:rStyle w:val="Rimandonotaapidipagina"/>
        </w:rPr>
        <w:footnoteRef/>
      </w:r>
      <w:r w:rsidRPr="00A05575">
        <w:t xml:space="preserve"> Un quadro completo delle sanzioni previste per il reato di cui all’art. 185 del T.U.F. è offerto da </w:t>
      </w:r>
      <w:r w:rsidR="00370818" w:rsidRPr="00370818">
        <w:rPr>
          <w:smallCaps/>
        </w:rPr>
        <w:t>D’Alessandro</w:t>
      </w:r>
      <w:r w:rsidRPr="00A05575">
        <w:t xml:space="preserve">, </w:t>
      </w:r>
      <w:r w:rsidRPr="002C27F8">
        <w:rPr>
          <w:i/>
        </w:rPr>
        <w:t>L’aggiotaggio e la manipolazione di mercato</w:t>
      </w:r>
      <w:r w:rsidRPr="00A05575">
        <w:t xml:space="preserve">, in </w:t>
      </w:r>
      <w:r w:rsidR="00370818" w:rsidRPr="00370818">
        <w:rPr>
          <w:smallCaps/>
        </w:rPr>
        <w:t>Canzio-Cerqua-Lupária</w:t>
      </w:r>
      <w:r w:rsidR="00370818" w:rsidRPr="00A05575">
        <w:t xml:space="preserve"> </w:t>
      </w:r>
      <w:r w:rsidRPr="00A05575">
        <w:t xml:space="preserve">(a cura di), </w:t>
      </w:r>
      <w:r w:rsidRPr="002C27F8">
        <w:rPr>
          <w:i/>
        </w:rPr>
        <w:t>Diritto penale delle società – Tomo primo</w:t>
      </w:r>
      <w:r w:rsidRPr="00A05575">
        <w:t>, cit., 827 e ss.</w:t>
      </w:r>
    </w:p>
  </w:footnote>
  <w:footnote w:id="111">
    <w:p w14:paraId="13EE9EB3" w14:textId="557E3720" w:rsidR="003C19F1" w:rsidRDefault="003C19F1">
      <w:pPr>
        <w:pStyle w:val="Testonotaapidipagina"/>
      </w:pPr>
      <w:r>
        <w:rPr>
          <w:rStyle w:val="Rimandonotaapidipagina"/>
        </w:rPr>
        <w:footnoteRef/>
      </w:r>
      <w:r>
        <w:t xml:space="preserve"> Caratteristica peculiare del sistema di illeciti amministrativi per responsabilità degli enti derivante da reato, introdotto con il d.lgs. 231/2001, è quello di aver introdotto un sistema sanzionatorio avente, come sanzione principale, una sanzione pecuniaria calcolabile in quote in relazione al grado di disvalore del fatto. Per approfondire cfr. </w:t>
      </w:r>
      <w:r w:rsidR="00370818" w:rsidRPr="00370818">
        <w:rPr>
          <w:smallCaps/>
        </w:rPr>
        <w:t>Paolozzi</w:t>
      </w:r>
      <w:r>
        <w:t xml:space="preserve">, </w:t>
      </w:r>
      <w:r w:rsidRPr="002C27F8">
        <w:rPr>
          <w:i/>
        </w:rPr>
        <w:t>Vademecum degli enti sotto processo</w:t>
      </w:r>
      <w:r>
        <w:t>, Torino, 2006.</w:t>
      </w:r>
    </w:p>
  </w:footnote>
  <w:footnote w:id="112">
    <w:p w14:paraId="444AE7DC" w14:textId="77777777" w:rsidR="003C19F1" w:rsidRPr="00A05575" w:rsidRDefault="003C19F1" w:rsidP="00E551DA">
      <w:pPr>
        <w:widowControl w:val="0"/>
        <w:autoSpaceDE w:val="0"/>
        <w:autoSpaceDN w:val="0"/>
        <w:adjustRightInd w:val="0"/>
        <w:ind w:firstLine="454"/>
        <w:rPr>
          <w:rFonts w:cs="Times New Roman"/>
          <w:i/>
          <w:sz w:val="20"/>
          <w:szCs w:val="20"/>
        </w:rPr>
      </w:pPr>
      <w:r w:rsidRPr="00A05575">
        <w:rPr>
          <w:rStyle w:val="Rimandonotaapidipagina"/>
          <w:rFonts w:cs="Times New Roman"/>
          <w:sz w:val="20"/>
          <w:szCs w:val="20"/>
        </w:rPr>
        <w:footnoteRef/>
      </w:r>
      <w:r w:rsidRPr="00A05575">
        <w:rPr>
          <w:rFonts w:cs="Times New Roman"/>
          <w:sz w:val="20"/>
          <w:szCs w:val="20"/>
        </w:rPr>
        <w:t xml:space="preserve"> </w:t>
      </w:r>
      <w:r>
        <w:rPr>
          <w:rFonts w:cs="Times New Roman"/>
          <w:sz w:val="20"/>
          <w:szCs w:val="20"/>
        </w:rPr>
        <w:t>Per</w:t>
      </w:r>
      <w:r w:rsidRPr="00A05575">
        <w:rPr>
          <w:rFonts w:cs="Times New Roman"/>
          <w:sz w:val="20"/>
          <w:szCs w:val="20"/>
        </w:rPr>
        <w:t xml:space="preserve"> il testo dell’art. 18</w:t>
      </w:r>
      <w:r>
        <w:rPr>
          <w:rFonts w:cs="Times New Roman"/>
          <w:sz w:val="20"/>
          <w:szCs w:val="20"/>
        </w:rPr>
        <w:t>7 ter</w:t>
      </w:r>
      <w:r w:rsidRPr="00A05575">
        <w:rPr>
          <w:rFonts w:cs="Times New Roman"/>
          <w:sz w:val="20"/>
          <w:szCs w:val="20"/>
        </w:rPr>
        <w:t>, come modificato dalla legge comunitaria per il 2005</w:t>
      </w:r>
      <w:r>
        <w:rPr>
          <w:rFonts w:cs="Times New Roman"/>
          <w:sz w:val="20"/>
          <w:szCs w:val="20"/>
        </w:rPr>
        <w:t>, si rinvia al secondo capitolo</w:t>
      </w:r>
      <w:r w:rsidRPr="00A05575">
        <w:rPr>
          <w:rFonts w:cs="Times New Roman"/>
          <w:sz w:val="20"/>
          <w:szCs w:val="20"/>
        </w:rPr>
        <w:t>.</w:t>
      </w:r>
    </w:p>
  </w:footnote>
  <w:footnote w:id="113">
    <w:p w14:paraId="08ADAA8F" w14:textId="70BA3002" w:rsidR="003C19F1" w:rsidRPr="00A05575" w:rsidRDefault="003C19F1" w:rsidP="00E551DA">
      <w:pPr>
        <w:pStyle w:val="Testonotaapidipagina"/>
        <w:ind w:firstLine="454"/>
      </w:pPr>
      <w:r w:rsidRPr="00A05575">
        <w:rPr>
          <w:rStyle w:val="Rimandonotaapidipagina"/>
        </w:rPr>
        <w:footnoteRef/>
      </w:r>
      <w:r w:rsidRPr="00A05575">
        <w:t xml:space="preserve"> Per tali considerazioni cfr. </w:t>
      </w:r>
      <w:r w:rsidR="00370818" w:rsidRPr="00370818">
        <w:rPr>
          <w:smallCaps/>
        </w:rPr>
        <w:t>Masucci</w:t>
      </w:r>
      <w:r w:rsidRPr="00A05575">
        <w:t xml:space="preserve">, </w:t>
      </w:r>
      <w:r w:rsidRPr="002C27F8">
        <w:rPr>
          <w:i/>
        </w:rPr>
        <w:t>Abusi di mercato</w:t>
      </w:r>
      <w:r w:rsidRPr="00A05575">
        <w:t xml:space="preserve">, in </w:t>
      </w:r>
      <w:r w:rsidR="00370818" w:rsidRPr="00370818">
        <w:rPr>
          <w:smallCaps/>
        </w:rPr>
        <w:t>Fiorella</w:t>
      </w:r>
      <w:r w:rsidRPr="00A05575">
        <w:t xml:space="preserve">, </w:t>
      </w:r>
      <w:r w:rsidRPr="002C27F8">
        <w:rPr>
          <w:i/>
        </w:rPr>
        <w:t>Questioni fondamentali della parte speciale del diritto penale</w:t>
      </w:r>
      <w:r w:rsidRPr="00A05575">
        <w:t>, Torino, 2013, 271 e ss.</w:t>
      </w:r>
    </w:p>
  </w:footnote>
  <w:footnote w:id="114">
    <w:p w14:paraId="0974D5F1" w14:textId="14B51827" w:rsidR="003C19F1" w:rsidRPr="00A05575" w:rsidRDefault="003C19F1" w:rsidP="00E551DA">
      <w:pPr>
        <w:pStyle w:val="Testonotaapidipagina"/>
        <w:ind w:firstLine="454"/>
      </w:pPr>
      <w:r w:rsidRPr="00A05575">
        <w:rPr>
          <w:rStyle w:val="Rimandonotaapidipagina"/>
        </w:rPr>
        <w:footnoteRef/>
      </w:r>
      <w:r w:rsidRPr="00A05575">
        <w:t xml:space="preserve"> </w:t>
      </w:r>
      <w:r w:rsidR="00370818" w:rsidRPr="00370818">
        <w:rPr>
          <w:smallCaps/>
        </w:rPr>
        <w:t>Mezzetti</w:t>
      </w:r>
      <w:r w:rsidRPr="00A05575">
        <w:t xml:space="preserve">, </w:t>
      </w:r>
      <w:r w:rsidRPr="002C27F8">
        <w:rPr>
          <w:i/>
        </w:rPr>
        <w:t>I reati finanziari</w:t>
      </w:r>
      <w:r w:rsidRPr="00A05575">
        <w:t xml:space="preserve">, in </w:t>
      </w:r>
      <w:r w:rsidR="00370818" w:rsidRPr="00370818">
        <w:rPr>
          <w:smallCaps/>
        </w:rPr>
        <w:t>Ambrosetti</w:t>
      </w:r>
      <w:r w:rsidRPr="00370818">
        <w:rPr>
          <w:smallCaps/>
        </w:rPr>
        <w:t>-</w:t>
      </w:r>
      <w:r w:rsidR="00370818" w:rsidRPr="00370818">
        <w:rPr>
          <w:smallCaps/>
        </w:rPr>
        <w:t>Mezzetti</w:t>
      </w:r>
      <w:r w:rsidRPr="00370818">
        <w:rPr>
          <w:smallCaps/>
        </w:rPr>
        <w:t>-</w:t>
      </w:r>
      <w:r w:rsidR="00370818" w:rsidRPr="00370818">
        <w:rPr>
          <w:smallCaps/>
        </w:rPr>
        <w:t>Ronco</w:t>
      </w:r>
      <w:r w:rsidRPr="00A05575">
        <w:t xml:space="preserve">, </w:t>
      </w:r>
      <w:r w:rsidRPr="002C27F8">
        <w:rPr>
          <w:i/>
        </w:rPr>
        <w:t>Diritto penale dell’impresa</w:t>
      </w:r>
      <w:r w:rsidRPr="00A05575">
        <w:t>, Torino, 2012, 240.</w:t>
      </w:r>
    </w:p>
  </w:footnote>
  <w:footnote w:id="115">
    <w:p w14:paraId="6240358C" w14:textId="13434C10" w:rsidR="003C19F1" w:rsidRPr="00A05575" w:rsidRDefault="003C19F1" w:rsidP="00E551DA">
      <w:pPr>
        <w:pStyle w:val="Testonotaapidipagina"/>
        <w:ind w:firstLine="454"/>
      </w:pPr>
      <w:r w:rsidRPr="00A05575">
        <w:rPr>
          <w:rStyle w:val="Rimandonotaapidipagina"/>
        </w:rPr>
        <w:footnoteRef/>
      </w:r>
      <w:r>
        <w:t xml:space="preserve"> </w:t>
      </w:r>
      <w:r w:rsidR="00370818" w:rsidRPr="00370818">
        <w:rPr>
          <w:smallCaps/>
        </w:rPr>
        <w:t>Fondaroli</w:t>
      </w:r>
      <w:r w:rsidRPr="00A05575">
        <w:t xml:space="preserve">, </w:t>
      </w:r>
      <w:r w:rsidRPr="002C27F8">
        <w:rPr>
          <w:i/>
        </w:rPr>
        <w:t>L’illecito amministrativo di manipolazione di mercato</w:t>
      </w:r>
      <w:r w:rsidRPr="00A05575">
        <w:t xml:space="preserve">, in </w:t>
      </w:r>
      <w:r w:rsidR="00370818" w:rsidRPr="00370818">
        <w:rPr>
          <w:smallCaps/>
        </w:rPr>
        <w:t>Sgubbi</w:t>
      </w:r>
      <w:r w:rsidRPr="00370818">
        <w:rPr>
          <w:smallCaps/>
        </w:rPr>
        <w:t>–F</w:t>
      </w:r>
      <w:r w:rsidR="00370818" w:rsidRPr="00370818">
        <w:rPr>
          <w:smallCaps/>
        </w:rPr>
        <w:t>ondaroli</w:t>
      </w:r>
      <w:r w:rsidRPr="00370818">
        <w:rPr>
          <w:smallCaps/>
        </w:rPr>
        <w:t>–T</w:t>
      </w:r>
      <w:r w:rsidR="00370818" w:rsidRPr="00370818">
        <w:rPr>
          <w:smallCaps/>
        </w:rPr>
        <w:t>ripodi</w:t>
      </w:r>
      <w:r w:rsidRPr="00A05575">
        <w:t xml:space="preserve">, </w:t>
      </w:r>
      <w:r w:rsidRPr="002C27F8">
        <w:rPr>
          <w:i/>
        </w:rPr>
        <w:t>Diritto penale del mercato finanziario</w:t>
      </w:r>
      <w:r w:rsidRPr="00A05575">
        <w:t>, Padova, 2008, 111 e ss..</w:t>
      </w:r>
    </w:p>
  </w:footnote>
  <w:footnote w:id="116">
    <w:p w14:paraId="54532223" w14:textId="08CBB2A7" w:rsidR="003C19F1" w:rsidRPr="00A05575" w:rsidRDefault="003C19F1" w:rsidP="00E551DA">
      <w:pPr>
        <w:pStyle w:val="Testonotaapidipagina"/>
        <w:ind w:firstLine="454"/>
      </w:pPr>
      <w:r w:rsidRPr="00A05575">
        <w:rPr>
          <w:rStyle w:val="Rimandonotaapidipagina"/>
        </w:rPr>
        <w:footnoteRef/>
      </w:r>
      <w:r w:rsidRPr="00A05575">
        <w:t xml:space="preserve"> </w:t>
      </w:r>
      <w:r w:rsidR="00370818" w:rsidRPr="00370818">
        <w:rPr>
          <w:smallCaps/>
        </w:rPr>
        <w:t>Mezzetti</w:t>
      </w:r>
      <w:r w:rsidRPr="00A05575">
        <w:t xml:space="preserve">, </w:t>
      </w:r>
      <w:r w:rsidRPr="002C27F8">
        <w:rPr>
          <w:i/>
        </w:rPr>
        <w:t>I reati finanziari</w:t>
      </w:r>
      <w:r w:rsidRPr="00A05575">
        <w:t xml:space="preserve">, in </w:t>
      </w:r>
      <w:r w:rsidR="00370818" w:rsidRPr="00370818">
        <w:rPr>
          <w:smallCaps/>
        </w:rPr>
        <w:t>Ambrosetti-Mezzetti-Ronco</w:t>
      </w:r>
      <w:r w:rsidRPr="00A05575">
        <w:t xml:space="preserve">, </w:t>
      </w:r>
      <w:r w:rsidRPr="002C27F8">
        <w:rPr>
          <w:i/>
        </w:rPr>
        <w:t>Diritto penale dell’impresa</w:t>
      </w:r>
      <w:r w:rsidRPr="00A05575">
        <w:t xml:space="preserve">, </w:t>
      </w:r>
      <w:r>
        <w:t>cit.</w:t>
      </w:r>
      <w:r w:rsidRPr="00A05575">
        <w:t>, 257.</w:t>
      </w:r>
    </w:p>
  </w:footnote>
  <w:footnote w:id="117">
    <w:p w14:paraId="1451703C" w14:textId="2B50FEE1" w:rsidR="003C19F1" w:rsidRPr="00A05575" w:rsidRDefault="003C19F1" w:rsidP="00E551DA">
      <w:pPr>
        <w:pStyle w:val="Testonotaapidipagina"/>
        <w:ind w:firstLine="454"/>
      </w:pPr>
      <w:r w:rsidRPr="00A05575">
        <w:rPr>
          <w:rStyle w:val="Rimandonotaapidipagina"/>
        </w:rPr>
        <w:footnoteRef/>
      </w:r>
      <w:r w:rsidRPr="00A05575">
        <w:t xml:space="preserve"> </w:t>
      </w:r>
      <w:r w:rsidR="00370818" w:rsidRPr="00370818">
        <w:rPr>
          <w:smallCaps/>
        </w:rPr>
        <w:t>Mezzetti</w:t>
      </w:r>
      <w:r w:rsidRPr="00A05575">
        <w:t xml:space="preserve">, </w:t>
      </w:r>
      <w:r w:rsidRPr="002C27F8">
        <w:rPr>
          <w:i/>
        </w:rPr>
        <w:t>I reati finanziari</w:t>
      </w:r>
      <w:r w:rsidRPr="00A05575">
        <w:t xml:space="preserve">, in </w:t>
      </w:r>
      <w:r w:rsidR="00370818" w:rsidRPr="00370818">
        <w:rPr>
          <w:smallCaps/>
        </w:rPr>
        <w:t>Ambrosetti-Mezzetti-Ronco</w:t>
      </w:r>
      <w:r w:rsidRPr="00A05575">
        <w:t xml:space="preserve">, </w:t>
      </w:r>
      <w:r w:rsidRPr="002C27F8">
        <w:rPr>
          <w:i/>
        </w:rPr>
        <w:t>Diritto penale dell’impresa</w:t>
      </w:r>
      <w:r w:rsidRPr="00A05575">
        <w:t xml:space="preserve">, </w:t>
      </w:r>
      <w:r>
        <w:t>cit.</w:t>
      </w:r>
      <w:r w:rsidRPr="00A05575">
        <w:t>, 257.</w:t>
      </w:r>
    </w:p>
  </w:footnote>
  <w:footnote w:id="118">
    <w:p w14:paraId="134B6745" w14:textId="2F79325A" w:rsidR="003C19F1" w:rsidRPr="00A05575" w:rsidRDefault="003C19F1" w:rsidP="00E551DA">
      <w:pPr>
        <w:pStyle w:val="Testonotaapidipagina"/>
        <w:ind w:firstLine="454"/>
      </w:pPr>
      <w:r w:rsidRPr="00A05575">
        <w:rPr>
          <w:rStyle w:val="Rimandonotaapidipagina"/>
        </w:rPr>
        <w:footnoteRef/>
      </w:r>
      <w:r w:rsidRPr="00A05575">
        <w:t xml:space="preserve"> </w:t>
      </w:r>
      <w:r w:rsidR="00370818" w:rsidRPr="00370818">
        <w:rPr>
          <w:smallCaps/>
        </w:rPr>
        <w:t>Fondaroli</w:t>
      </w:r>
      <w:r w:rsidRPr="00A05575">
        <w:t xml:space="preserve">, </w:t>
      </w:r>
      <w:r w:rsidRPr="002C27F8">
        <w:rPr>
          <w:i/>
        </w:rPr>
        <w:t>L’illecito amministrativo di manipolazione di mercato</w:t>
      </w:r>
      <w:r w:rsidRPr="00A05575">
        <w:t xml:space="preserve">, in </w:t>
      </w:r>
      <w:r w:rsidR="00370818" w:rsidRPr="00370818">
        <w:rPr>
          <w:smallCaps/>
        </w:rPr>
        <w:t>Sgubbi–Fondaroli–Tripodi</w:t>
      </w:r>
      <w:r w:rsidRPr="00A05575">
        <w:t xml:space="preserve">, </w:t>
      </w:r>
      <w:r w:rsidRPr="002C27F8">
        <w:rPr>
          <w:i/>
        </w:rPr>
        <w:t>Diritto penale del mercato finanziario</w:t>
      </w:r>
      <w:r w:rsidRPr="00A05575">
        <w:t xml:space="preserve">, </w:t>
      </w:r>
      <w:r>
        <w:t>cit.</w:t>
      </w:r>
      <w:r w:rsidRPr="00A05575">
        <w:t>, 119.</w:t>
      </w:r>
    </w:p>
  </w:footnote>
  <w:footnote w:id="119">
    <w:p w14:paraId="4EC581C1" w14:textId="3C571E7F" w:rsidR="003C19F1" w:rsidRPr="00A05575" w:rsidRDefault="003C19F1" w:rsidP="00E551DA">
      <w:pPr>
        <w:pStyle w:val="Testonotaapidipagina"/>
        <w:ind w:firstLine="454"/>
      </w:pPr>
      <w:r w:rsidRPr="00A05575">
        <w:rPr>
          <w:rStyle w:val="Rimandonotaapidipagina"/>
        </w:rPr>
        <w:footnoteRef/>
      </w:r>
      <w:r w:rsidRPr="00A05575">
        <w:t xml:space="preserve"> A tal proposito cfr. anche</w:t>
      </w:r>
      <w:r w:rsidRPr="002C27F8">
        <w:t xml:space="preserve"> </w:t>
      </w:r>
      <w:r w:rsidRPr="003C19F1">
        <w:rPr>
          <w:smallCaps/>
        </w:rPr>
        <w:t>Preziosi</w:t>
      </w:r>
      <w:r>
        <w:t>,</w:t>
      </w:r>
      <w:r w:rsidRPr="00A05575">
        <w:t xml:space="preserve"> </w:t>
      </w:r>
      <w:r w:rsidRPr="002C27F8">
        <w:rPr>
          <w:i/>
        </w:rPr>
        <w:t>La manipolazione di mercato nella cornice dell’ordinamento comunitario e del diritto penale italiano</w:t>
      </w:r>
      <w:r w:rsidRPr="00A05575">
        <w:t>, cit., 59 e ss.</w:t>
      </w:r>
    </w:p>
  </w:footnote>
  <w:footnote w:id="120">
    <w:p w14:paraId="0A0FB217" w14:textId="33C844EA" w:rsidR="003C19F1" w:rsidRPr="00A05575" w:rsidRDefault="003C19F1" w:rsidP="00E551DA">
      <w:pPr>
        <w:pStyle w:val="Testonotaapidipagina"/>
        <w:ind w:firstLine="454"/>
      </w:pPr>
      <w:r w:rsidRPr="00A05575">
        <w:rPr>
          <w:rStyle w:val="Rimandonotaapidipagina"/>
        </w:rPr>
        <w:footnoteRef/>
      </w:r>
      <w:r w:rsidRPr="00A05575">
        <w:t xml:space="preserve"> Per un’analisi di tali tendenze, anche da un punto di vista giuridico-sociologico, cfr. </w:t>
      </w:r>
      <w:r w:rsidR="00370818" w:rsidRPr="00370818">
        <w:rPr>
          <w:smallCaps/>
        </w:rPr>
        <w:t>Mezzetti</w:t>
      </w:r>
      <w:r w:rsidRPr="00A05575">
        <w:t xml:space="preserve">, </w:t>
      </w:r>
      <w:r w:rsidRPr="002C27F8">
        <w:rPr>
          <w:i/>
        </w:rPr>
        <w:t>I reati finanziari</w:t>
      </w:r>
      <w:r w:rsidRPr="00A05575">
        <w:t xml:space="preserve">, in </w:t>
      </w:r>
      <w:r w:rsidR="00370818" w:rsidRPr="00370818">
        <w:rPr>
          <w:smallCaps/>
        </w:rPr>
        <w:t>Ambrosetti-Mezzetti-Ronco</w:t>
      </w:r>
      <w:r w:rsidRPr="00A05575">
        <w:t xml:space="preserve">, </w:t>
      </w:r>
      <w:r w:rsidRPr="002C27F8">
        <w:rPr>
          <w:i/>
        </w:rPr>
        <w:t>Diritto penale dell’impresa</w:t>
      </w:r>
      <w:r w:rsidRPr="00A05575">
        <w:t xml:space="preserve">, </w:t>
      </w:r>
      <w:r>
        <w:t>cit.</w:t>
      </w:r>
      <w:r w:rsidRPr="00A05575">
        <w:t>, 231 e ss..</w:t>
      </w:r>
    </w:p>
  </w:footnote>
  <w:footnote w:id="121">
    <w:p w14:paraId="172FE231" w14:textId="475AC3D1" w:rsidR="003C19F1" w:rsidRPr="00A05575" w:rsidRDefault="003C19F1" w:rsidP="00E551DA">
      <w:pPr>
        <w:pStyle w:val="Testonotaapidipagina"/>
        <w:ind w:firstLine="454"/>
      </w:pPr>
      <w:r w:rsidRPr="00A05575">
        <w:rPr>
          <w:rStyle w:val="Rimandonotaapidipagina"/>
        </w:rPr>
        <w:footnoteRef/>
      </w:r>
      <w:r w:rsidRPr="00A05575">
        <w:t xml:space="preserve"> Si riporta interamente il comma due </w:t>
      </w:r>
      <w:r w:rsidRPr="002E005C">
        <w:rPr>
          <w:i/>
        </w:rPr>
        <w:t>bis</w:t>
      </w:r>
      <w:r w:rsidRPr="00A05575">
        <w:t xml:space="preserve"> dell’art. 182: </w:t>
      </w:r>
      <w:r>
        <w:rPr>
          <w:i/>
        </w:rPr>
        <w:t>«</w:t>
      </w:r>
      <w:r w:rsidRPr="00A05575">
        <w:rPr>
          <w:i/>
        </w:rPr>
        <w:t>Nel caso di operazioni relative agli strumenti finanziari di cui all'articolo 180, comma 1, lettera a), numero 2), la sanzione penale è quella dell'ammenda fino a euro centotremila e duecentonovantuno e dell'arresto fino a tre anni</w:t>
      </w:r>
      <w:r>
        <w:rPr>
          <w:i/>
        </w:rPr>
        <w:t>»</w:t>
      </w:r>
      <w:r w:rsidRPr="00A05575">
        <w:rPr>
          <w:i/>
        </w:rPr>
        <w:t>.</w:t>
      </w:r>
    </w:p>
  </w:footnote>
  <w:footnote w:id="122">
    <w:p w14:paraId="2305305E" w14:textId="0DF18975" w:rsidR="003C19F1" w:rsidRPr="00A05575" w:rsidRDefault="003C19F1" w:rsidP="00E551DA">
      <w:pPr>
        <w:widowControl w:val="0"/>
        <w:autoSpaceDE w:val="0"/>
        <w:autoSpaceDN w:val="0"/>
        <w:adjustRightInd w:val="0"/>
        <w:ind w:firstLine="454"/>
        <w:rPr>
          <w:rStyle w:val="Enfasidelicata"/>
          <w:rFonts w:cs="Times New Roman"/>
          <w:sz w:val="20"/>
          <w:szCs w:val="20"/>
        </w:rPr>
      </w:pPr>
      <w:r w:rsidRPr="00A05575">
        <w:rPr>
          <w:rStyle w:val="Rimandonotaapidipagina"/>
          <w:rFonts w:cs="Times New Roman"/>
          <w:sz w:val="20"/>
          <w:szCs w:val="20"/>
        </w:rPr>
        <w:footnoteRef/>
      </w:r>
      <w:r w:rsidRPr="00A05575">
        <w:rPr>
          <w:rFonts w:cs="Times New Roman"/>
          <w:sz w:val="20"/>
          <w:szCs w:val="20"/>
        </w:rPr>
        <w:t xml:space="preserve"> Si riporta il testo del secondo comma dell’art. 83 del T.F.U.E.: </w:t>
      </w:r>
      <w:r>
        <w:rPr>
          <w:rFonts w:cs="Times New Roman"/>
          <w:i/>
          <w:sz w:val="20"/>
          <w:szCs w:val="20"/>
        </w:rPr>
        <w:t>«</w:t>
      </w:r>
      <w:r w:rsidRPr="00A05575">
        <w:rPr>
          <w:rFonts w:cs="Times New Roman"/>
          <w:i/>
          <w:sz w:val="20"/>
          <w:szCs w:val="20"/>
        </w:rPr>
        <w:t>Allorché il ravvicinamento delle disposizioni legislative e regolamentari degli Stati membri in materia penale si rivela indispensabile per garantire l'attuazione efficace di una politica dell'Unione in un settore che è stato oggetto di misure di armonizzazione, norme minime relative alla definizione dei reati e delle sanzioni nel settore in questione possono essere stabilite tramite direttive. Tali direttive sono adottate secondo la stessa procedura legislativa ordinaria o speciale utilizzata per l'adozione delle misure di armonizzazione in questione, fatto salvo l'articolo 76</w:t>
      </w:r>
      <w:r>
        <w:rPr>
          <w:rFonts w:cs="Times New Roman"/>
          <w:i/>
          <w:sz w:val="20"/>
          <w:szCs w:val="20"/>
        </w:rPr>
        <w:t>»</w:t>
      </w:r>
      <w:r w:rsidRPr="00A05575">
        <w:rPr>
          <w:rFonts w:cs="Times New Roman"/>
          <w:i/>
          <w:sz w:val="20"/>
          <w:szCs w:val="20"/>
        </w:rPr>
        <w:t>.</w:t>
      </w:r>
    </w:p>
  </w:footnote>
  <w:footnote w:id="123">
    <w:p w14:paraId="191D5354" w14:textId="4F479C41" w:rsidR="003C19F1" w:rsidRPr="00A05575" w:rsidRDefault="003C19F1" w:rsidP="00E551DA">
      <w:pPr>
        <w:pStyle w:val="Testonotaapidipagina"/>
        <w:ind w:firstLine="454"/>
      </w:pPr>
      <w:r w:rsidRPr="00A05575">
        <w:rPr>
          <w:rStyle w:val="Rimandonotaapidipagina"/>
        </w:rPr>
        <w:footnoteRef/>
      </w:r>
      <w:r w:rsidRPr="00A05575">
        <w:t xml:space="preserve"> Per i riferimenti a tale Direttiva cfr. anche </w:t>
      </w:r>
      <w:r w:rsidR="00370818" w:rsidRPr="00370818">
        <w:rPr>
          <w:smallCaps/>
        </w:rPr>
        <w:t>Castellaneta</w:t>
      </w:r>
      <w:r w:rsidRPr="00A05575">
        <w:t xml:space="preserve">, </w:t>
      </w:r>
      <w:r w:rsidRPr="002C27F8">
        <w:rPr>
          <w:i/>
        </w:rPr>
        <w:t>Con la direttiva Ue il diritto interno fa rotta sul penale</w:t>
      </w:r>
      <w:r w:rsidRPr="00A05575">
        <w:t xml:space="preserve">, in </w:t>
      </w:r>
      <w:r w:rsidRPr="00C5548F">
        <w:rPr>
          <w:i/>
        </w:rPr>
        <w:t>Iusletter. Informazione e aggiornamento giuridico</w:t>
      </w:r>
      <w:r w:rsidRPr="00A05575">
        <w:t xml:space="preserve">, </w:t>
      </w:r>
      <w:r w:rsidRPr="009D3AA6">
        <w:t>http://iusletter.com/con-la-direttiva-ue-il-diritto-interno-fa-rotta-sul-penale/</w:t>
      </w:r>
      <w:r w:rsidRPr="00A05575">
        <w:t xml:space="preserve"> (consultato il 17 agosto 2014)</w:t>
      </w:r>
    </w:p>
  </w:footnote>
  <w:footnote w:id="124">
    <w:p w14:paraId="15127471" w14:textId="184CD733" w:rsidR="003C19F1" w:rsidRPr="00A05575" w:rsidRDefault="003C19F1" w:rsidP="009D3AA6">
      <w:pPr>
        <w:pStyle w:val="Testonotaapidipagina"/>
        <w:keepNext/>
        <w:keepLines/>
        <w:pageBreakBefore/>
        <w:suppressLineNumbers/>
        <w:ind w:firstLine="454"/>
      </w:pPr>
      <w:r w:rsidRPr="00A05575">
        <w:rPr>
          <w:rStyle w:val="Rimandonotaapidipagina"/>
        </w:rPr>
        <w:footnoteRef/>
      </w:r>
      <w:r w:rsidRPr="00A05575">
        <w:t xml:space="preserve"> Per i riferimenti a tale Regolamento cfr. anche </w:t>
      </w:r>
      <w:r w:rsidR="00370818" w:rsidRPr="00370818">
        <w:rPr>
          <w:smallCaps/>
        </w:rPr>
        <w:t>Tocci</w:t>
      </w:r>
      <w:r w:rsidRPr="00A05575">
        <w:t xml:space="preserve">, </w:t>
      </w:r>
      <w:r w:rsidRPr="002C27F8">
        <w:rPr>
          <w:i/>
        </w:rPr>
        <w:t>Abusi di mercato: norme UE comuni per prevenire e sanzionare</w:t>
      </w:r>
      <w:r w:rsidRPr="00A05575">
        <w:t xml:space="preserve">, in </w:t>
      </w:r>
      <w:r w:rsidRPr="00C5548F">
        <w:rPr>
          <w:i/>
        </w:rPr>
        <w:t>Unindustria</w:t>
      </w:r>
      <w:r w:rsidRPr="00A05575">
        <w:t xml:space="preserve">, </w:t>
      </w:r>
      <w:r w:rsidR="009D3AA6" w:rsidRPr="009D3AA6">
        <w:t>http://www.un-industria.it/prj/Hom.asp?gsAppLanCur=IT&amp;gsPagTyp=21&amp;gsMnuNav=01M:100,01L:24,01C:4,02M:200,02L:27,02C:9,&amp;fInfCod=32279&amp;fPagTypOri=2</w:t>
      </w:r>
      <w:r w:rsidRPr="00A05575">
        <w:t xml:space="preserve"> (consultato il 17 agosto 2014)</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7119"/>
    <w:multiLevelType w:val="hybridMultilevel"/>
    <w:tmpl w:val="A72A89A4"/>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08D27F34"/>
    <w:multiLevelType w:val="multilevel"/>
    <w:tmpl w:val="C4D246F8"/>
    <w:lvl w:ilvl="0">
      <w:start w:val="1"/>
      <w:numFmt w:val="upperRoman"/>
      <w:lvlText w:val="%1."/>
      <w:lvlJc w:val="right"/>
      <w:pPr>
        <w:ind w:left="180" w:hanging="18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1E059D"/>
    <w:multiLevelType w:val="hybridMultilevel"/>
    <w:tmpl w:val="FC1E8F74"/>
    <w:lvl w:ilvl="0" w:tplc="F0BE67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98B3E02"/>
    <w:multiLevelType w:val="hybridMultilevel"/>
    <w:tmpl w:val="38661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E47955"/>
    <w:multiLevelType w:val="hybridMultilevel"/>
    <w:tmpl w:val="19CCE546"/>
    <w:lvl w:ilvl="0" w:tplc="39FCDE4A">
      <w:start w:val="1"/>
      <w:numFmt w:val="decimal"/>
      <w:lvlText w:val="%1"/>
      <w:lvlJc w:val="left"/>
      <w:pPr>
        <w:tabs>
          <w:tab w:val="num" w:pos="454"/>
        </w:tabs>
        <w:ind w:left="0" w:firstLine="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32077A6"/>
    <w:multiLevelType w:val="multilevel"/>
    <w:tmpl w:val="5DECB94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4AA7D60"/>
    <w:multiLevelType w:val="hybridMultilevel"/>
    <w:tmpl w:val="54466BC4"/>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5FD40AA"/>
    <w:multiLevelType w:val="multilevel"/>
    <w:tmpl w:val="9CAE5D90"/>
    <w:lvl w:ilvl="0">
      <w:start w:val="1"/>
      <w:numFmt w:val="decimal"/>
      <w:lvlText w:val="%1"/>
      <w:lvlJc w:val="left"/>
      <w:pPr>
        <w:tabs>
          <w:tab w:val="num" w:pos="454"/>
        </w:tabs>
        <w:ind w:left="0" w:firstLine="0"/>
      </w:pPr>
      <w:rPr>
        <w:rFonts w:hint="default"/>
      </w:rPr>
    </w:lvl>
    <w:lvl w:ilvl="1">
      <w:start w:val="1"/>
      <w:numFmt w:val="decimal"/>
      <w:lvlText w:val="%2"/>
      <w:lvlJc w:val="left"/>
      <w:pPr>
        <w:tabs>
          <w:tab w:val="num" w:pos="1534"/>
        </w:tabs>
        <w:ind w:left="1080" w:firstLine="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95072C"/>
    <w:multiLevelType w:val="multilevel"/>
    <w:tmpl w:val="7486A8A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7BB11DA"/>
    <w:multiLevelType w:val="hybridMultilevel"/>
    <w:tmpl w:val="F8849A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C232778"/>
    <w:multiLevelType w:val="hybridMultilevel"/>
    <w:tmpl w:val="3724DC16"/>
    <w:lvl w:ilvl="0" w:tplc="E1C017BE">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14F1D87"/>
    <w:multiLevelType w:val="multilevel"/>
    <w:tmpl w:val="F8849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1C6742E"/>
    <w:multiLevelType w:val="multilevel"/>
    <w:tmpl w:val="2F46EF82"/>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26D63A5"/>
    <w:multiLevelType w:val="multilevel"/>
    <w:tmpl w:val="3AA07052"/>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E274FA8"/>
    <w:multiLevelType w:val="multilevel"/>
    <w:tmpl w:val="02A492BE"/>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E8E41D9"/>
    <w:multiLevelType w:val="multilevel"/>
    <w:tmpl w:val="40BA8146"/>
    <w:lvl w:ilvl="0">
      <w:start w:val="1"/>
      <w:numFmt w:val="lowerLetter"/>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6">
    <w:nsid w:val="39146819"/>
    <w:multiLevelType w:val="multilevel"/>
    <w:tmpl w:val="04125F82"/>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E0E4D8B"/>
    <w:multiLevelType w:val="multilevel"/>
    <w:tmpl w:val="20500814"/>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1050DC"/>
    <w:multiLevelType w:val="hybridMultilevel"/>
    <w:tmpl w:val="C16E2C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4815937"/>
    <w:multiLevelType w:val="multilevel"/>
    <w:tmpl w:val="2F46EF82"/>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4E1399B"/>
    <w:multiLevelType w:val="hybridMultilevel"/>
    <w:tmpl w:val="90F48C00"/>
    <w:lvl w:ilvl="0" w:tplc="B49C4D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4E30D19"/>
    <w:multiLevelType w:val="multilevel"/>
    <w:tmpl w:val="1DBAD6B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466C70F4"/>
    <w:multiLevelType w:val="multilevel"/>
    <w:tmpl w:val="C8D62FE2"/>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6B42A7D"/>
    <w:multiLevelType w:val="hybridMultilevel"/>
    <w:tmpl w:val="64E40B06"/>
    <w:lvl w:ilvl="0" w:tplc="04100017">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4">
    <w:nsid w:val="4B262527"/>
    <w:multiLevelType w:val="hybridMultilevel"/>
    <w:tmpl w:val="9CAE5D90"/>
    <w:lvl w:ilvl="0" w:tplc="E70093FA">
      <w:start w:val="1"/>
      <w:numFmt w:val="decimal"/>
      <w:lvlText w:val="%1"/>
      <w:lvlJc w:val="left"/>
      <w:pPr>
        <w:tabs>
          <w:tab w:val="num" w:pos="454"/>
        </w:tabs>
        <w:ind w:left="0" w:firstLine="0"/>
      </w:pPr>
      <w:rPr>
        <w:rFonts w:hint="default"/>
      </w:rPr>
    </w:lvl>
    <w:lvl w:ilvl="1" w:tplc="E8AA5B6A">
      <w:start w:val="1"/>
      <w:numFmt w:val="decimal"/>
      <w:lvlText w:val="%2"/>
      <w:lvlJc w:val="left"/>
      <w:pPr>
        <w:tabs>
          <w:tab w:val="num" w:pos="1534"/>
        </w:tabs>
        <w:ind w:left="1080" w:firstLine="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3430931"/>
    <w:multiLevelType w:val="multilevel"/>
    <w:tmpl w:val="296C67E8"/>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6A40890"/>
    <w:multiLevelType w:val="multilevel"/>
    <w:tmpl w:val="9CF87554"/>
    <w:lvl w:ilvl="0">
      <w:start w:val="1"/>
      <w:numFmt w:val="decimal"/>
      <w:lvlText w:val="%1"/>
      <w:lvlJc w:val="left"/>
      <w:pPr>
        <w:tabs>
          <w:tab w:val="num" w:pos="454"/>
        </w:tabs>
        <w:ind w:left="0" w:firstLine="0"/>
      </w:pPr>
      <w:rPr>
        <w:rFonts w:hint="default"/>
      </w:rPr>
    </w:lvl>
    <w:lvl w:ilvl="1">
      <w:start w:val="1"/>
      <w:numFmt w:val="decimal"/>
      <w:lvlText w:val="%2"/>
      <w:lvlJc w:val="left"/>
      <w:pPr>
        <w:tabs>
          <w:tab w:val="num" w:pos="1534"/>
        </w:tabs>
        <w:ind w:left="1080" w:firstLine="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89C15A5"/>
    <w:multiLevelType w:val="hybridMultilevel"/>
    <w:tmpl w:val="0950B45C"/>
    <w:lvl w:ilvl="0" w:tplc="0410000F">
      <w:start w:val="1"/>
      <w:numFmt w:val="decimal"/>
      <w:lvlText w:val="%1."/>
      <w:lvlJc w:val="left"/>
      <w:pPr>
        <w:ind w:left="1428" w:hanging="360"/>
      </w:pPr>
    </w:lvl>
    <w:lvl w:ilvl="1" w:tplc="04100019">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8">
    <w:nsid w:val="5A331FB0"/>
    <w:multiLevelType w:val="hybridMultilevel"/>
    <w:tmpl w:val="8C7CEA3A"/>
    <w:lvl w:ilvl="0" w:tplc="8A869EC4">
      <w:start w:val="1"/>
      <w:numFmt w:val="decimal"/>
      <w:lvlText w:val="%1"/>
      <w:lvlJc w:val="left"/>
      <w:pPr>
        <w:tabs>
          <w:tab w:val="num" w:pos="454"/>
        </w:tabs>
        <w:ind w:left="0" w:firstLine="0"/>
      </w:pPr>
      <w:rPr>
        <w:rFonts w:hint="default"/>
      </w:rPr>
    </w:lvl>
    <w:lvl w:ilvl="1" w:tplc="E8AA5B6A">
      <w:start w:val="1"/>
      <w:numFmt w:val="decimal"/>
      <w:lvlText w:val="%2"/>
      <w:lvlJc w:val="left"/>
      <w:pPr>
        <w:tabs>
          <w:tab w:val="num" w:pos="1534"/>
        </w:tabs>
        <w:ind w:left="1080" w:firstLine="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A6A63F9"/>
    <w:multiLevelType w:val="multilevel"/>
    <w:tmpl w:val="8BF4A5F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6089273C"/>
    <w:multiLevelType w:val="multilevel"/>
    <w:tmpl w:val="EBE089D4"/>
    <w:lvl w:ilvl="0">
      <w:start w:val="1"/>
      <w:numFmt w:val="decimal"/>
      <w:lvlText w:val="%1"/>
      <w:lvlJc w:val="left"/>
      <w:pPr>
        <w:tabs>
          <w:tab w:val="num" w:pos="454"/>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lowerRoman"/>
      <w:lvlText w:val="%1.%2.%3"/>
      <w:lvlJc w:val="left"/>
      <w:pPr>
        <w:tabs>
          <w:tab w:val="num" w:pos="720"/>
        </w:tabs>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61F13743"/>
    <w:multiLevelType w:val="hybridMultilevel"/>
    <w:tmpl w:val="65B425B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2">
    <w:nsid w:val="65314FFE"/>
    <w:multiLevelType w:val="hybridMultilevel"/>
    <w:tmpl w:val="6B2E1B1A"/>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69A6BD3"/>
    <w:multiLevelType w:val="hybridMultilevel"/>
    <w:tmpl w:val="A1E692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7057A8F"/>
    <w:multiLevelType w:val="multilevel"/>
    <w:tmpl w:val="6BE805C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BDD4F93"/>
    <w:multiLevelType w:val="multilevel"/>
    <w:tmpl w:val="30E415C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nsid w:val="6DCC0791"/>
    <w:multiLevelType w:val="hybridMultilevel"/>
    <w:tmpl w:val="0450DA78"/>
    <w:lvl w:ilvl="0" w:tplc="E8AA5B6A">
      <w:start w:val="1"/>
      <w:numFmt w:val="decimal"/>
      <w:lvlText w:val="%1"/>
      <w:lvlJc w:val="left"/>
      <w:pPr>
        <w:tabs>
          <w:tab w:val="num" w:pos="454"/>
        </w:tabs>
        <w:ind w:left="0" w:firstLine="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E0D2CD9"/>
    <w:multiLevelType w:val="multilevel"/>
    <w:tmpl w:val="C53AE174"/>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6D50F9E"/>
    <w:multiLevelType w:val="hybridMultilevel"/>
    <w:tmpl w:val="14207D6E"/>
    <w:lvl w:ilvl="0" w:tplc="0410000F">
      <w:start w:val="1"/>
      <w:numFmt w:val="decimal"/>
      <w:lvlText w:val="%1."/>
      <w:lvlJc w:val="left"/>
      <w:pPr>
        <w:ind w:left="360" w:hanging="360"/>
      </w:pPr>
    </w:lvl>
    <w:lvl w:ilvl="1" w:tplc="04100019">
      <w:start w:val="1"/>
      <w:numFmt w:val="lowerLetter"/>
      <w:lvlText w:val="%2."/>
      <w:lvlJc w:val="left"/>
      <w:pPr>
        <w:ind w:left="502"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nsid w:val="798F36C1"/>
    <w:multiLevelType w:val="hybridMultilevel"/>
    <w:tmpl w:val="F8849A1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CEA008F"/>
    <w:multiLevelType w:val="multilevel"/>
    <w:tmpl w:val="335A5B2C"/>
    <w:lvl w:ilvl="0">
      <w:start w:val="1"/>
      <w:numFmt w:val="decimal"/>
      <w:lvlText w:val="%1"/>
      <w:lvlJc w:val="left"/>
      <w:pPr>
        <w:tabs>
          <w:tab w:val="num" w:pos="454"/>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E0554D4"/>
    <w:multiLevelType w:val="hybridMultilevel"/>
    <w:tmpl w:val="20500814"/>
    <w:lvl w:ilvl="0" w:tplc="39FCDE4A">
      <w:start w:val="1"/>
      <w:numFmt w:val="decimal"/>
      <w:lvlText w:val="%1"/>
      <w:lvlJc w:val="left"/>
      <w:pPr>
        <w:tabs>
          <w:tab w:val="num" w:pos="454"/>
        </w:tabs>
        <w:ind w:left="0" w:firstLine="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9"/>
  </w:num>
  <w:num w:numId="2">
    <w:abstractNumId w:val="27"/>
  </w:num>
  <w:num w:numId="3">
    <w:abstractNumId w:val="39"/>
  </w:num>
  <w:num w:numId="4">
    <w:abstractNumId w:val="11"/>
  </w:num>
  <w:num w:numId="5">
    <w:abstractNumId w:val="38"/>
  </w:num>
  <w:num w:numId="6">
    <w:abstractNumId w:val="31"/>
  </w:num>
  <w:num w:numId="7">
    <w:abstractNumId w:val="33"/>
  </w:num>
  <w:num w:numId="8">
    <w:abstractNumId w:val="0"/>
  </w:num>
  <w:num w:numId="9">
    <w:abstractNumId w:val="15"/>
  </w:num>
  <w:num w:numId="10">
    <w:abstractNumId w:val="18"/>
  </w:num>
  <w:num w:numId="11">
    <w:abstractNumId w:val="3"/>
  </w:num>
  <w:num w:numId="12">
    <w:abstractNumId w:val="23"/>
  </w:num>
  <w:num w:numId="13">
    <w:abstractNumId w:val="6"/>
  </w:num>
  <w:num w:numId="14">
    <w:abstractNumId w:val="5"/>
  </w:num>
  <w:num w:numId="15">
    <w:abstractNumId w:val="1"/>
  </w:num>
  <w:num w:numId="16">
    <w:abstractNumId w:val="34"/>
  </w:num>
  <w:num w:numId="17">
    <w:abstractNumId w:val="35"/>
  </w:num>
  <w:num w:numId="18">
    <w:abstractNumId w:val="21"/>
  </w:num>
  <w:num w:numId="19">
    <w:abstractNumId w:val="10"/>
  </w:num>
  <w:num w:numId="20">
    <w:abstractNumId w:val="30"/>
  </w:num>
  <w:num w:numId="21">
    <w:abstractNumId w:val="20"/>
  </w:num>
  <w:num w:numId="22">
    <w:abstractNumId w:val="28"/>
  </w:num>
  <w:num w:numId="23">
    <w:abstractNumId w:val="29"/>
  </w:num>
  <w:num w:numId="24">
    <w:abstractNumId w:val="14"/>
  </w:num>
  <w:num w:numId="25">
    <w:abstractNumId w:val="8"/>
  </w:num>
  <w:num w:numId="26">
    <w:abstractNumId w:val="12"/>
  </w:num>
  <w:num w:numId="27">
    <w:abstractNumId w:val="24"/>
  </w:num>
  <w:num w:numId="28">
    <w:abstractNumId w:val="2"/>
  </w:num>
  <w:num w:numId="29">
    <w:abstractNumId w:val="19"/>
  </w:num>
  <w:num w:numId="30">
    <w:abstractNumId w:val="22"/>
  </w:num>
  <w:num w:numId="31">
    <w:abstractNumId w:val="40"/>
  </w:num>
  <w:num w:numId="32">
    <w:abstractNumId w:val="32"/>
  </w:num>
  <w:num w:numId="33">
    <w:abstractNumId w:val="13"/>
  </w:num>
  <w:num w:numId="34">
    <w:abstractNumId w:val="25"/>
  </w:num>
  <w:num w:numId="35">
    <w:abstractNumId w:val="7"/>
  </w:num>
  <w:num w:numId="36">
    <w:abstractNumId w:val="41"/>
  </w:num>
  <w:num w:numId="37">
    <w:abstractNumId w:val="17"/>
  </w:num>
  <w:num w:numId="38">
    <w:abstractNumId w:val="4"/>
  </w:num>
  <w:num w:numId="39">
    <w:abstractNumId w:val="16"/>
  </w:num>
  <w:num w:numId="40">
    <w:abstractNumId w:val="37"/>
  </w:num>
  <w:num w:numId="41">
    <w:abstractNumId w:val="26"/>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3"/>
  <w:embedSystemFonts/>
  <w:activeWritingStyle w:appName="MSWord" w:lang="it-IT" w:vendorID="3" w:dllVersion="517"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454"/>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43C"/>
    <w:rsid w:val="00000F13"/>
    <w:rsid w:val="00002B4A"/>
    <w:rsid w:val="00010797"/>
    <w:rsid w:val="000115D0"/>
    <w:rsid w:val="0001359E"/>
    <w:rsid w:val="000202EA"/>
    <w:rsid w:val="000215FE"/>
    <w:rsid w:val="00022F63"/>
    <w:rsid w:val="00024B07"/>
    <w:rsid w:val="0002529C"/>
    <w:rsid w:val="000264C2"/>
    <w:rsid w:val="00030C31"/>
    <w:rsid w:val="00033F2A"/>
    <w:rsid w:val="00037450"/>
    <w:rsid w:val="00041083"/>
    <w:rsid w:val="000422AF"/>
    <w:rsid w:val="00046017"/>
    <w:rsid w:val="00046FDD"/>
    <w:rsid w:val="000473A7"/>
    <w:rsid w:val="000501BF"/>
    <w:rsid w:val="0005373A"/>
    <w:rsid w:val="00054DC2"/>
    <w:rsid w:val="000561CE"/>
    <w:rsid w:val="00063505"/>
    <w:rsid w:val="000641F8"/>
    <w:rsid w:val="00064565"/>
    <w:rsid w:val="00064DFF"/>
    <w:rsid w:val="0006502B"/>
    <w:rsid w:val="000664FC"/>
    <w:rsid w:val="000730D8"/>
    <w:rsid w:val="00074DB5"/>
    <w:rsid w:val="00075F52"/>
    <w:rsid w:val="000769E9"/>
    <w:rsid w:val="000770C7"/>
    <w:rsid w:val="00077507"/>
    <w:rsid w:val="00077BBC"/>
    <w:rsid w:val="000832BD"/>
    <w:rsid w:val="00091FEB"/>
    <w:rsid w:val="00093260"/>
    <w:rsid w:val="000935F4"/>
    <w:rsid w:val="000958E7"/>
    <w:rsid w:val="0009620F"/>
    <w:rsid w:val="00097A29"/>
    <w:rsid w:val="000A100F"/>
    <w:rsid w:val="000B1D15"/>
    <w:rsid w:val="000B2FC7"/>
    <w:rsid w:val="000B3C03"/>
    <w:rsid w:val="000B6D25"/>
    <w:rsid w:val="000C3AD0"/>
    <w:rsid w:val="000D0776"/>
    <w:rsid w:val="000D6A88"/>
    <w:rsid w:val="000E2129"/>
    <w:rsid w:val="000E23F5"/>
    <w:rsid w:val="000E26D6"/>
    <w:rsid w:val="000E2CE4"/>
    <w:rsid w:val="000E3FEB"/>
    <w:rsid w:val="000E7AFB"/>
    <w:rsid w:val="000F1973"/>
    <w:rsid w:val="000F4906"/>
    <w:rsid w:val="000F4BA6"/>
    <w:rsid w:val="000F7355"/>
    <w:rsid w:val="00103BD4"/>
    <w:rsid w:val="00105143"/>
    <w:rsid w:val="001101D2"/>
    <w:rsid w:val="001116A8"/>
    <w:rsid w:val="00112DC7"/>
    <w:rsid w:val="00116FD3"/>
    <w:rsid w:val="00117135"/>
    <w:rsid w:val="001178CB"/>
    <w:rsid w:val="00120E76"/>
    <w:rsid w:val="001218FF"/>
    <w:rsid w:val="00125EDD"/>
    <w:rsid w:val="001320CE"/>
    <w:rsid w:val="00133567"/>
    <w:rsid w:val="001353BC"/>
    <w:rsid w:val="00135DA8"/>
    <w:rsid w:val="00136D11"/>
    <w:rsid w:val="0013759B"/>
    <w:rsid w:val="0014196E"/>
    <w:rsid w:val="00144D7D"/>
    <w:rsid w:val="001512AA"/>
    <w:rsid w:val="0015596D"/>
    <w:rsid w:val="0016010E"/>
    <w:rsid w:val="00161ADA"/>
    <w:rsid w:val="00161E03"/>
    <w:rsid w:val="0016374B"/>
    <w:rsid w:val="00164065"/>
    <w:rsid w:val="00164A81"/>
    <w:rsid w:val="00166FE5"/>
    <w:rsid w:val="00170E79"/>
    <w:rsid w:val="001718E9"/>
    <w:rsid w:val="00171C53"/>
    <w:rsid w:val="00172675"/>
    <w:rsid w:val="00173DC8"/>
    <w:rsid w:val="0017673C"/>
    <w:rsid w:val="00177733"/>
    <w:rsid w:val="00177DC1"/>
    <w:rsid w:val="00180E6E"/>
    <w:rsid w:val="0018306A"/>
    <w:rsid w:val="0018488C"/>
    <w:rsid w:val="00186125"/>
    <w:rsid w:val="00187BCD"/>
    <w:rsid w:val="001900FB"/>
    <w:rsid w:val="00192FC3"/>
    <w:rsid w:val="00195083"/>
    <w:rsid w:val="001953BC"/>
    <w:rsid w:val="001966FC"/>
    <w:rsid w:val="001A1121"/>
    <w:rsid w:val="001A2324"/>
    <w:rsid w:val="001A379D"/>
    <w:rsid w:val="001A53CE"/>
    <w:rsid w:val="001A576D"/>
    <w:rsid w:val="001A6F11"/>
    <w:rsid w:val="001B006B"/>
    <w:rsid w:val="001B03E7"/>
    <w:rsid w:val="001B2659"/>
    <w:rsid w:val="001B59C0"/>
    <w:rsid w:val="001B5AC6"/>
    <w:rsid w:val="001B70A0"/>
    <w:rsid w:val="001C0492"/>
    <w:rsid w:val="001C06B3"/>
    <w:rsid w:val="001C21CD"/>
    <w:rsid w:val="001C29B7"/>
    <w:rsid w:val="001C35DF"/>
    <w:rsid w:val="001C58CE"/>
    <w:rsid w:val="001C64A0"/>
    <w:rsid w:val="001D4DCB"/>
    <w:rsid w:val="001E1276"/>
    <w:rsid w:val="001E3885"/>
    <w:rsid w:val="001E4BF3"/>
    <w:rsid w:val="001E65F2"/>
    <w:rsid w:val="001E7E78"/>
    <w:rsid w:val="001F1B0E"/>
    <w:rsid w:val="001F4144"/>
    <w:rsid w:val="001F5F6F"/>
    <w:rsid w:val="00200209"/>
    <w:rsid w:val="00201522"/>
    <w:rsid w:val="002036F2"/>
    <w:rsid w:val="0020793B"/>
    <w:rsid w:val="002104CA"/>
    <w:rsid w:val="00210A80"/>
    <w:rsid w:val="0021521D"/>
    <w:rsid w:val="002158BB"/>
    <w:rsid w:val="00220599"/>
    <w:rsid w:val="0022213C"/>
    <w:rsid w:val="002254CB"/>
    <w:rsid w:val="00231CB0"/>
    <w:rsid w:val="00232E8A"/>
    <w:rsid w:val="00237D1D"/>
    <w:rsid w:val="00242E5A"/>
    <w:rsid w:val="00243887"/>
    <w:rsid w:val="002515D9"/>
    <w:rsid w:val="00252F28"/>
    <w:rsid w:val="00254F55"/>
    <w:rsid w:val="002600E3"/>
    <w:rsid w:val="0026395D"/>
    <w:rsid w:val="00264033"/>
    <w:rsid w:val="0026692C"/>
    <w:rsid w:val="002760FB"/>
    <w:rsid w:val="00276924"/>
    <w:rsid w:val="00276DC4"/>
    <w:rsid w:val="0027778B"/>
    <w:rsid w:val="00280342"/>
    <w:rsid w:val="002855B9"/>
    <w:rsid w:val="00285926"/>
    <w:rsid w:val="00285CFE"/>
    <w:rsid w:val="0029214E"/>
    <w:rsid w:val="002A502B"/>
    <w:rsid w:val="002A75A1"/>
    <w:rsid w:val="002B2C26"/>
    <w:rsid w:val="002B4662"/>
    <w:rsid w:val="002B6812"/>
    <w:rsid w:val="002C10B2"/>
    <w:rsid w:val="002C2066"/>
    <w:rsid w:val="002C27F8"/>
    <w:rsid w:val="002C2B8B"/>
    <w:rsid w:val="002C3784"/>
    <w:rsid w:val="002C6020"/>
    <w:rsid w:val="002C7772"/>
    <w:rsid w:val="002C7BDC"/>
    <w:rsid w:val="002C7D81"/>
    <w:rsid w:val="002D06D0"/>
    <w:rsid w:val="002D225B"/>
    <w:rsid w:val="002D70BB"/>
    <w:rsid w:val="002D7CE3"/>
    <w:rsid w:val="002E005C"/>
    <w:rsid w:val="002E03D9"/>
    <w:rsid w:val="002E3147"/>
    <w:rsid w:val="002E4C92"/>
    <w:rsid w:val="002E5095"/>
    <w:rsid w:val="002E63E3"/>
    <w:rsid w:val="002E775C"/>
    <w:rsid w:val="002F0C50"/>
    <w:rsid w:val="002F10A2"/>
    <w:rsid w:val="002F1AB6"/>
    <w:rsid w:val="002F527C"/>
    <w:rsid w:val="002F5E20"/>
    <w:rsid w:val="002F7EC3"/>
    <w:rsid w:val="003011CA"/>
    <w:rsid w:val="00310A10"/>
    <w:rsid w:val="0031137A"/>
    <w:rsid w:val="0031414B"/>
    <w:rsid w:val="00317AA0"/>
    <w:rsid w:val="00320E56"/>
    <w:rsid w:val="003234AD"/>
    <w:rsid w:val="00323872"/>
    <w:rsid w:val="003268A5"/>
    <w:rsid w:val="00326BB2"/>
    <w:rsid w:val="00330A28"/>
    <w:rsid w:val="00333757"/>
    <w:rsid w:val="00333B92"/>
    <w:rsid w:val="00334184"/>
    <w:rsid w:val="00335ACD"/>
    <w:rsid w:val="003360AA"/>
    <w:rsid w:val="00337FE8"/>
    <w:rsid w:val="0034240C"/>
    <w:rsid w:val="003424BE"/>
    <w:rsid w:val="003441C0"/>
    <w:rsid w:val="00344CE3"/>
    <w:rsid w:val="0034642A"/>
    <w:rsid w:val="003479E2"/>
    <w:rsid w:val="003517E2"/>
    <w:rsid w:val="0035548F"/>
    <w:rsid w:val="00356683"/>
    <w:rsid w:val="00356B74"/>
    <w:rsid w:val="00357195"/>
    <w:rsid w:val="003632C9"/>
    <w:rsid w:val="003635F8"/>
    <w:rsid w:val="00370818"/>
    <w:rsid w:val="00371611"/>
    <w:rsid w:val="00374042"/>
    <w:rsid w:val="003753A6"/>
    <w:rsid w:val="00382C43"/>
    <w:rsid w:val="00383834"/>
    <w:rsid w:val="00391F1E"/>
    <w:rsid w:val="00393D9A"/>
    <w:rsid w:val="00395238"/>
    <w:rsid w:val="003A0362"/>
    <w:rsid w:val="003A2672"/>
    <w:rsid w:val="003A52DB"/>
    <w:rsid w:val="003A5987"/>
    <w:rsid w:val="003A72B5"/>
    <w:rsid w:val="003B0671"/>
    <w:rsid w:val="003B25F5"/>
    <w:rsid w:val="003B2939"/>
    <w:rsid w:val="003B2F39"/>
    <w:rsid w:val="003B342D"/>
    <w:rsid w:val="003B51E2"/>
    <w:rsid w:val="003B7696"/>
    <w:rsid w:val="003C0A70"/>
    <w:rsid w:val="003C19F1"/>
    <w:rsid w:val="003C3476"/>
    <w:rsid w:val="003C4141"/>
    <w:rsid w:val="003C5467"/>
    <w:rsid w:val="003C5A2C"/>
    <w:rsid w:val="003C6C96"/>
    <w:rsid w:val="003C6DC1"/>
    <w:rsid w:val="003C7779"/>
    <w:rsid w:val="003C7BA6"/>
    <w:rsid w:val="003D3FCE"/>
    <w:rsid w:val="003D4615"/>
    <w:rsid w:val="003D4CBC"/>
    <w:rsid w:val="003D4D62"/>
    <w:rsid w:val="003D60FD"/>
    <w:rsid w:val="003D685F"/>
    <w:rsid w:val="003E34EF"/>
    <w:rsid w:val="003E3760"/>
    <w:rsid w:val="003E398A"/>
    <w:rsid w:val="003E6790"/>
    <w:rsid w:val="003F4E61"/>
    <w:rsid w:val="004019D5"/>
    <w:rsid w:val="004026A6"/>
    <w:rsid w:val="00411054"/>
    <w:rsid w:val="0041343C"/>
    <w:rsid w:val="00415B21"/>
    <w:rsid w:val="00415F22"/>
    <w:rsid w:val="0042014A"/>
    <w:rsid w:val="00420835"/>
    <w:rsid w:val="00421B24"/>
    <w:rsid w:val="00421D2D"/>
    <w:rsid w:val="00423673"/>
    <w:rsid w:val="00426219"/>
    <w:rsid w:val="00432C24"/>
    <w:rsid w:val="00433844"/>
    <w:rsid w:val="004356FA"/>
    <w:rsid w:val="0044063D"/>
    <w:rsid w:val="004440D4"/>
    <w:rsid w:val="00446861"/>
    <w:rsid w:val="00446D6E"/>
    <w:rsid w:val="004572CE"/>
    <w:rsid w:val="00457AE3"/>
    <w:rsid w:val="004607F5"/>
    <w:rsid w:val="00460EA3"/>
    <w:rsid w:val="00461958"/>
    <w:rsid w:val="0046562A"/>
    <w:rsid w:val="00465E2E"/>
    <w:rsid w:val="00467230"/>
    <w:rsid w:val="0046758B"/>
    <w:rsid w:val="0047181A"/>
    <w:rsid w:val="00472103"/>
    <w:rsid w:val="00473D84"/>
    <w:rsid w:val="00475CD6"/>
    <w:rsid w:val="00475F92"/>
    <w:rsid w:val="004770F3"/>
    <w:rsid w:val="00477B12"/>
    <w:rsid w:val="00477BA8"/>
    <w:rsid w:val="004813A1"/>
    <w:rsid w:val="00486989"/>
    <w:rsid w:val="00487787"/>
    <w:rsid w:val="00493ECB"/>
    <w:rsid w:val="004965F6"/>
    <w:rsid w:val="00496844"/>
    <w:rsid w:val="004A0869"/>
    <w:rsid w:val="004A3E33"/>
    <w:rsid w:val="004A578D"/>
    <w:rsid w:val="004A70EC"/>
    <w:rsid w:val="004B05F8"/>
    <w:rsid w:val="004B4861"/>
    <w:rsid w:val="004B4BFA"/>
    <w:rsid w:val="004B6DA8"/>
    <w:rsid w:val="004B70E1"/>
    <w:rsid w:val="004C3264"/>
    <w:rsid w:val="004C33CD"/>
    <w:rsid w:val="004D150B"/>
    <w:rsid w:val="004D3549"/>
    <w:rsid w:val="004D3978"/>
    <w:rsid w:val="004D5AF1"/>
    <w:rsid w:val="004E3B56"/>
    <w:rsid w:val="004E4399"/>
    <w:rsid w:val="004E44B9"/>
    <w:rsid w:val="004E5FE3"/>
    <w:rsid w:val="004F134C"/>
    <w:rsid w:val="004F13D8"/>
    <w:rsid w:val="004F2DFC"/>
    <w:rsid w:val="004F3744"/>
    <w:rsid w:val="004F3CAA"/>
    <w:rsid w:val="004F6676"/>
    <w:rsid w:val="004F687A"/>
    <w:rsid w:val="004F7B71"/>
    <w:rsid w:val="00500F2F"/>
    <w:rsid w:val="005025AA"/>
    <w:rsid w:val="00502D79"/>
    <w:rsid w:val="00503711"/>
    <w:rsid w:val="005039AC"/>
    <w:rsid w:val="00503E76"/>
    <w:rsid w:val="00503FC3"/>
    <w:rsid w:val="00507CDC"/>
    <w:rsid w:val="005108A6"/>
    <w:rsid w:val="005136BB"/>
    <w:rsid w:val="00513CE0"/>
    <w:rsid w:val="0051500F"/>
    <w:rsid w:val="0051583A"/>
    <w:rsid w:val="005172B0"/>
    <w:rsid w:val="005204CD"/>
    <w:rsid w:val="00520BF8"/>
    <w:rsid w:val="00523392"/>
    <w:rsid w:val="005236B8"/>
    <w:rsid w:val="00524153"/>
    <w:rsid w:val="005269FE"/>
    <w:rsid w:val="00530994"/>
    <w:rsid w:val="0053547B"/>
    <w:rsid w:val="00536520"/>
    <w:rsid w:val="00540F03"/>
    <w:rsid w:val="00541015"/>
    <w:rsid w:val="005414BF"/>
    <w:rsid w:val="00541CEB"/>
    <w:rsid w:val="00542367"/>
    <w:rsid w:val="005429D3"/>
    <w:rsid w:val="00550D69"/>
    <w:rsid w:val="00554A4F"/>
    <w:rsid w:val="00556A48"/>
    <w:rsid w:val="00560C48"/>
    <w:rsid w:val="00561438"/>
    <w:rsid w:val="00565ACC"/>
    <w:rsid w:val="005666B9"/>
    <w:rsid w:val="00566FFB"/>
    <w:rsid w:val="00571975"/>
    <w:rsid w:val="00574A5B"/>
    <w:rsid w:val="0058096B"/>
    <w:rsid w:val="00580AE7"/>
    <w:rsid w:val="00582FF7"/>
    <w:rsid w:val="005839AA"/>
    <w:rsid w:val="00583A69"/>
    <w:rsid w:val="00583EE5"/>
    <w:rsid w:val="005859E7"/>
    <w:rsid w:val="00585C1A"/>
    <w:rsid w:val="0059057A"/>
    <w:rsid w:val="005905B7"/>
    <w:rsid w:val="00590DB8"/>
    <w:rsid w:val="00595918"/>
    <w:rsid w:val="00596BB0"/>
    <w:rsid w:val="005A3094"/>
    <w:rsid w:val="005A35DA"/>
    <w:rsid w:val="005A3BAA"/>
    <w:rsid w:val="005A589F"/>
    <w:rsid w:val="005B1134"/>
    <w:rsid w:val="005B3803"/>
    <w:rsid w:val="005B38D3"/>
    <w:rsid w:val="005B4270"/>
    <w:rsid w:val="005B583F"/>
    <w:rsid w:val="005B5EDB"/>
    <w:rsid w:val="005C03BA"/>
    <w:rsid w:val="005C6D08"/>
    <w:rsid w:val="005C7248"/>
    <w:rsid w:val="005D273E"/>
    <w:rsid w:val="005D2769"/>
    <w:rsid w:val="005D3F5F"/>
    <w:rsid w:val="005D542B"/>
    <w:rsid w:val="005D6CD5"/>
    <w:rsid w:val="005E0DB4"/>
    <w:rsid w:val="005E42B0"/>
    <w:rsid w:val="005E7A92"/>
    <w:rsid w:val="005F029C"/>
    <w:rsid w:val="005F03F2"/>
    <w:rsid w:val="005F4ACC"/>
    <w:rsid w:val="005F52F0"/>
    <w:rsid w:val="005F57A2"/>
    <w:rsid w:val="00600F45"/>
    <w:rsid w:val="006011DF"/>
    <w:rsid w:val="00603672"/>
    <w:rsid w:val="006056BC"/>
    <w:rsid w:val="00606DD7"/>
    <w:rsid w:val="006109B2"/>
    <w:rsid w:val="006134A0"/>
    <w:rsid w:val="006134AD"/>
    <w:rsid w:val="0061607C"/>
    <w:rsid w:val="006163DF"/>
    <w:rsid w:val="0062328C"/>
    <w:rsid w:val="00624C58"/>
    <w:rsid w:val="00630033"/>
    <w:rsid w:val="00630257"/>
    <w:rsid w:val="006303BA"/>
    <w:rsid w:val="00630EC6"/>
    <w:rsid w:val="006311FF"/>
    <w:rsid w:val="00631394"/>
    <w:rsid w:val="00632379"/>
    <w:rsid w:val="00632772"/>
    <w:rsid w:val="0063428E"/>
    <w:rsid w:val="0063551B"/>
    <w:rsid w:val="00636752"/>
    <w:rsid w:val="00637AEF"/>
    <w:rsid w:val="00643141"/>
    <w:rsid w:val="00647924"/>
    <w:rsid w:val="00654A39"/>
    <w:rsid w:val="0065590C"/>
    <w:rsid w:val="00656F30"/>
    <w:rsid w:val="00661A9E"/>
    <w:rsid w:val="00662DEE"/>
    <w:rsid w:val="00662ECB"/>
    <w:rsid w:val="00663997"/>
    <w:rsid w:val="00663BEC"/>
    <w:rsid w:val="00664DDA"/>
    <w:rsid w:val="00666E23"/>
    <w:rsid w:val="006700B7"/>
    <w:rsid w:val="00670DDD"/>
    <w:rsid w:val="00673718"/>
    <w:rsid w:val="00674EF2"/>
    <w:rsid w:val="00677E8E"/>
    <w:rsid w:val="0068348D"/>
    <w:rsid w:val="00684837"/>
    <w:rsid w:val="00685F7B"/>
    <w:rsid w:val="00686258"/>
    <w:rsid w:val="0068659D"/>
    <w:rsid w:val="0068752F"/>
    <w:rsid w:val="00691266"/>
    <w:rsid w:val="00691D33"/>
    <w:rsid w:val="006939DA"/>
    <w:rsid w:val="0069548D"/>
    <w:rsid w:val="006A5F14"/>
    <w:rsid w:val="006B0480"/>
    <w:rsid w:val="006B14B4"/>
    <w:rsid w:val="006B2376"/>
    <w:rsid w:val="006B362F"/>
    <w:rsid w:val="006B4144"/>
    <w:rsid w:val="006B502C"/>
    <w:rsid w:val="006B601C"/>
    <w:rsid w:val="006B68F5"/>
    <w:rsid w:val="006C2FA5"/>
    <w:rsid w:val="006C55D6"/>
    <w:rsid w:val="006D041E"/>
    <w:rsid w:val="006D5BD6"/>
    <w:rsid w:val="006D680D"/>
    <w:rsid w:val="006D6E40"/>
    <w:rsid w:val="006E3649"/>
    <w:rsid w:val="006E36DB"/>
    <w:rsid w:val="006E487B"/>
    <w:rsid w:val="006E5DCB"/>
    <w:rsid w:val="006F035A"/>
    <w:rsid w:val="006F273C"/>
    <w:rsid w:val="006F3CFF"/>
    <w:rsid w:val="006F7522"/>
    <w:rsid w:val="007032B5"/>
    <w:rsid w:val="00710AF9"/>
    <w:rsid w:val="00711173"/>
    <w:rsid w:val="0071441D"/>
    <w:rsid w:val="00716759"/>
    <w:rsid w:val="00725187"/>
    <w:rsid w:val="00725D7B"/>
    <w:rsid w:val="00727F8F"/>
    <w:rsid w:val="00731C33"/>
    <w:rsid w:val="00732066"/>
    <w:rsid w:val="0073451D"/>
    <w:rsid w:val="00736470"/>
    <w:rsid w:val="00743178"/>
    <w:rsid w:val="0074459A"/>
    <w:rsid w:val="00744A17"/>
    <w:rsid w:val="0074635A"/>
    <w:rsid w:val="007468DA"/>
    <w:rsid w:val="007473A7"/>
    <w:rsid w:val="00750FAA"/>
    <w:rsid w:val="00751A3F"/>
    <w:rsid w:val="00751D2E"/>
    <w:rsid w:val="00752DE7"/>
    <w:rsid w:val="007537AA"/>
    <w:rsid w:val="00756527"/>
    <w:rsid w:val="007569EB"/>
    <w:rsid w:val="00757262"/>
    <w:rsid w:val="007573AE"/>
    <w:rsid w:val="00760248"/>
    <w:rsid w:val="00761D6B"/>
    <w:rsid w:val="007626B6"/>
    <w:rsid w:val="00762723"/>
    <w:rsid w:val="00763AC1"/>
    <w:rsid w:val="0076409C"/>
    <w:rsid w:val="00772C16"/>
    <w:rsid w:val="007748AA"/>
    <w:rsid w:val="00776B72"/>
    <w:rsid w:val="00787258"/>
    <w:rsid w:val="00791C0F"/>
    <w:rsid w:val="00793246"/>
    <w:rsid w:val="007A3E2B"/>
    <w:rsid w:val="007B126E"/>
    <w:rsid w:val="007B1991"/>
    <w:rsid w:val="007C0289"/>
    <w:rsid w:val="007C2646"/>
    <w:rsid w:val="007C33BC"/>
    <w:rsid w:val="007C5F3E"/>
    <w:rsid w:val="007C6FB1"/>
    <w:rsid w:val="007D1145"/>
    <w:rsid w:val="007D39B6"/>
    <w:rsid w:val="007D4796"/>
    <w:rsid w:val="007D5F89"/>
    <w:rsid w:val="007E12BA"/>
    <w:rsid w:val="007E450B"/>
    <w:rsid w:val="007E5C68"/>
    <w:rsid w:val="007F29D8"/>
    <w:rsid w:val="007F463F"/>
    <w:rsid w:val="007F4950"/>
    <w:rsid w:val="007F629F"/>
    <w:rsid w:val="00803A91"/>
    <w:rsid w:val="00803ACE"/>
    <w:rsid w:val="00805262"/>
    <w:rsid w:val="008056CD"/>
    <w:rsid w:val="00805E3A"/>
    <w:rsid w:val="008064B9"/>
    <w:rsid w:val="00807E9B"/>
    <w:rsid w:val="008115D7"/>
    <w:rsid w:val="008117E3"/>
    <w:rsid w:val="00814375"/>
    <w:rsid w:val="00814489"/>
    <w:rsid w:val="00822593"/>
    <w:rsid w:val="0082453F"/>
    <w:rsid w:val="00824B25"/>
    <w:rsid w:val="008256A0"/>
    <w:rsid w:val="00825ADB"/>
    <w:rsid w:val="00827FDD"/>
    <w:rsid w:val="00834CA7"/>
    <w:rsid w:val="008351B0"/>
    <w:rsid w:val="008357B9"/>
    <w:rsid w:val="00840025"/>
    <w:rsid w:val="008445B6"/>
    <w:rsid w:val="00844843"/>
    <w:rsid w:val="008463AF"/>
    <w:rsid w:val="008572B8"/>
    <w:rsid w:val="00862571"/>
    <w:rsid w:val="00863C1B"/>
    <w:rsid w:val="00866A16"/>
    <w:rsid w:val="00867D5B"/>
    <w:rsid w:val="00871EF8"/>
    <w:rsid w:val="00872B36"/>
    <w:rsid w:val="0087465B"/>
    <w:rsid w:val="008746FB"/>
    <w:rsid w:val="00874A05"/>
    <w:rsid w:val="0087673E"/>
    <w:rsid w:val="0087734D"/>
    <w:rsid w:val="0088301A"/>
    <w:rsid w:val="008831D9"/>
    <w:rsid w:val="00883F72"/>
    <w:rsid w:val="00885B8C"/>
    <w:rsid w:val="008861C9"/>
    <w:rsid w:val="00887AEF"/>
    <w:rsid w:val="00894FB0"/>
    <w:rsid w:val="00897AD4"/>
    <w:rsid w:val="008A025B"/>
    <w:rsid w:val="008A6FA8"/>
    <w:rsid w:val="008A7631"/>
    <w:rsid w:val="008B0AD2"/>
    <w:rsid w:val="008B2CF8"/>
    <w:rsid w:val="008B4AB7"/>
    <w:rsid w:val="008B7200"/>
    <w:rsid w:val="008B76D3"/>
    <w:rsid w:val="008C04E2"/>
    <w:rsid w:val="008C0B73"/>
    <w:rsid w:val="008C3947"/>
    <w:rsid w:val="008C3B70"/>
    <w:rsid w:val="008C56FF"/>
    <w:rsid w:val="008D00D6"/>
    <w:rsid w:val="008D3956"/>
    <w:rsid w:val="008E45F7"/>
    <w:rsid w:val="008E4F26"/>
    <w:rsid w:val="008E6703"/>
    <w:rsid w:val="008E69A7"/>
    <w:rsid w:val="008F23F5"/>
    <w:rsid w:val="008F31F7"/>
    <w:rsid w:val="008F442F"/>
    <w:rsid w:val="008F4CB2"/>
    <w:rsid w:val="008F53E1"/>
    <w:rsid w:val="008F7D98"/>
    <w:rsid w:val="00900776"/>
    <w:rsid w:val="00900E55"/>
    <w:rsid w:val="00903158"/>
    <w:rsid w:val="0090426D"/>
    <w:rsid w:val="0090733C"/>
    <w:rsid w:val="0090764C"/>
    <w:rsid w:val="00907872"/>
    <w:rsid w:val="00907C45"/>
    <w:rsid w:val="0091227B"/>
    <w:rsid w:val="00914725"/>
    <w:rsid w:val="00914D5F"/>
    <w:rsid w:val="0091506C"/>
    <w:rsid w:val="00920870"/>
    <w:rsid w:val="009227A7"/>
    <w:rsid w:val="0092393C"/>
    <w:rsid w:val="00931BDD"/>
    <w:rsid w:val="009334DB"/>
    <w:rsid w:val="00934455"/>
    <w:rsid w:val="0093576A"/>
    <w:rsid w:val="00937441"/>
    <w:rsid w:val="0094254C"/>
    <w:rsid w:val="00944FFF"/>
    <w:rsid w:val="00946646"/>
    <w:rsid w:val="0094678A"/>
    <w:rsid w:val="0095719C"/>
    <w:rsid w:val="009603C2"/>
    <w:rsid w:val="00960E9F"/>
    <w:rsid w:val="00963414"/>
    <w:rsid w:val="00965687"/>
    <w:rsid w:val="009722CB"/>
    <w:rsid w:val="00980679"/>
    <w:rsid w:val="00981D7B"/>
    <w:rsid w:val="0098331F"/>
    <w:rsid w:val="00983961"/>
    <w:rsid w:val="00984A93"/>
    <w:rsid w:val="00985C5D"/>
    <w:rsid w:val="00990103"/>
    <w:rsid w:val="00992CE4"/>
    <w:rsid w:val="00996763"/>
    <w:rsid w:val="009976EB"/>
    <w:rsid w:val="009A04CC"/>
    <w:rsid w:val="009A20FF"/>
    <w:rsid w:val="009A319A"/>
    <w:rsid w:val="009A39C8"/>
    <w:rsid w:val="009A63B7"/>
    <w:rsid w:val="009A6CC9"/>
    <w:rsid w:val="009C0176"/>
    <w:rsid w:val="009C1D63"/>
    <w:rsid w:val="009C39F6"/>
    <w:rsid w:val="009C443E"/>
    <w:rsid w:val="009D0F14"/>
    <w:rsid w:val="009D1798"/>
    <w:rsid w:val="009D2888"/>
    <w:rsid w:val="009D3AA4"/>
    <w:rsid w:val="009D3AA6"/>
    <w:rsid w:val="009D50E7"/>
    <w:rsid w:val="009D636A"/>
    <w:rsid w:val="009E0265"/>
    <w:rsid w:val="009E310A"/>
    <w:rsid w:val="009F0314"/>
    <w:rsid w:val="009F2217"/>
    <w:rsid w:val="009F5292"/>
    <w:rsid w:val="009F7437"/>
    <w:rsid w:val="00A00953"/>
    <w:rsid w:val="00A0206B"/>
    <w:rsid w:val="00A02EC4"/>
    <w:rsid w:val="00A05575"/>
    <w:rsid w:val="00A05F61"/>
    <w:rsid w:val="00A11031"/>
    <w:rsid w:val="00A1226F"/>
    <w:rsid w:val="00A122CA"/>
    <w:rsid w:val="00A13568"/>
    <w:rsid w:val="00A15146"/>
    <w:rsid w:val="00A1612F"/>
    <w:rsid w:val="00A177EC"/>
    <w:rsid w:val="00A21137"/>
    <w:rsid w:val="00A21A04"/>
    <w:rsid w:val="00A21B89"/>
    <w:rsid w:val="00A274D7"/>
    <w:rsid w:val="00A30803"/>
    <w:rsid w:val="00A32206"/>
    <w:rsid w:val="00A34D18"/>
    <w:rsid w:val="00A3561C"/>
    <w:rsid w:val="00A40708"/>
    <w:rsid w:val="00A41ED0"/>
    <w:rsid w:val="00A430ED"/>
    <w:rsid w:val="00A433D2"/>
    <w:rsid w:val="00A43CD4"/>
    <w:rsid w:val="00A51926"/>
    <w:rsid w:val="00A53439"/>
    <w:rsid w:val="00A5558D"/>
    <w:rsid w:val="00A615ED"/>
    <w:rsid w:val="00A62724"/>
    <w:rsid w:val="00A63C02"/>
    <w:rsid w:val="00A63C4A"/>
    <w:rsid w:val="00A65447"/>
    <w:rsid w:val="00A67A78"/>
    <w:rsid w:val="00A67E40"/>
    <w:rsid w:val="00A7145D"/>
    <w:rsid w:val="00A76426"/>
    <w:rsid w:val="00A77780"/>
    <w:rsid w:val="00A778EC"/>
    <w:rsid w:val="00A81692"/>
    <w:rsid w:val="00A92687"/>
    <w:rsid w:val="00A92733"/>
    <w:rsid w:val="00A943DC"/>
    <w:rsid w:val="00A9498D"/>
    <w:rsid w:val="00A95EC1"/>
    <w:rsid w:val="00A95EE3"/>
    <w:rsid w:val="00A964CF"/>
    <w:rsid w:val="00A9790A"/>
    <w:rsid w:val="00AA1672"/>
    <w:rsid w:val="00AA2244"/>
    <w:rsid w:val="00AA3DFA"/>
    <w:rsid w:val="00AA4182"/>
    <w:rsid w:val="00AA573E"/>
    <w:rsid w:val="00AA57DC"/>
    <w:rsid w:val="00AA69F1"/>
    <w:rsid w:val="00AA7715"/>
    <w:rsid w:val="00AA780E"/>
    <w:rsid w:val="00AB0199"/>
    <w:rsid w:val="00AB1290"/>
    <w:rsid w:val="00AB30B0"/>
    <w:rsid w:val="00AB35DC"/>
    <w:rsid w:val="00AB4CCC"/>
    <w:rsid w:val="00AB7A42"/>
    <w:rsid w:val="00AC372D"/>
    <w:rsid w:val="00AC5B0F"/>
    <w:rsid w:val="00AC7012"/>
    <w:rsid w:val="00AD1053"/>
    <w:rsid w:val="00AD25F4"/>
    <w:rsid w:val="00AE005A"/>
    <w:rsid w:val="00AE5970"/>
    <w:rsid w:val="00AF1507"/>
    <w:rsid w:val="00AF1885"/>
    <w:rsid w:val="00AF246B"/>
    <w:rsid w:val="00AF351A"/>
    <w:rsid w:val="00B04185"/>
    <w:rsid w:val="00B0465F"/>
    <w:rsid w:val="00B0471F"/>
    <w:rsid w:val="00B06E92"/>
    <w:rsid w:val="00B07807"/>
    <w:rsid w:val="00B13E60"/>
    <w:rsid w:val="00B14DD0"/>
    <w:rsid w:val="00B17B7E"/>
    <w:rsid w:val="00B20644"/>
    <w:rsid w:val="00B2517A"/>
    <w:rsid w:val="00B275CF"/>
    <w:rsid w:val="00B30FF3"/>
    <w:rsid w:val="00B31474"/>
    <w:rsid w:val="00B340DA"/>
    <w:rsid w:val="00B3458B"/>
    <w:rsid w:val="00B449A9"/>
    <w:rsid w:val="00B4602A"/>
    <w:rsid w:val="00B46D1A"/>
    <w:rsid w:val="00B508F7"/>
    <w:rsid w:val="00B54AF2"/>
    <w:rsid w:val="00B57647"/>
    <w:rsid w:val="00B61F4B"/>
    <w:rsid w:val="00B62700"/>
    <w:rsid w:val="00B636A1"/>
    <w:rsid w:val="00B64471"/>
    <w:rsid w:val="00B71395"/>
    <w:rsid w:val="00B71953"/>
    <w:rsid w:val="00B71ECF"/>
    <w:rsid w:val="00B7294B"/>
    <w:rsid w:val="00B740CD"/>
    <w:rsid w:val="00B765F1"/>
    <w:rsid w:val="00B7701C"/>
    <w:rsid w:val="00B772C1"/>
    <w:rsid w:val="00B778E2"/>
    <w:rsid w:val="00B807E2"/>
    <w:rsid w:val="00B823C7"/>
    <w:rsid w:val="00B846CB"/>
    <w:rsid w:val="00B84ED1"/>
    <w:rsid w:val="00B860BF"/>
    <w:rsid w:val="00B90EC2"/>
    <w:rsid w:val="00B919DC"/>
    <w:rsid w:val="00B9666F"/>
    <w:rsid w:val="00B973DE"/>
    <w:rsid w:val="00B974FF"/>
    <w:rsid w:val="00BA1C1D"/>
    <w:rsid w:val="00BA369E"/>
    <w:rsid w:val="00BA57B8"/>
    <w:rsid w:val="00BA7C1A"/>
    <w:rsid w:val="00BB0717"/>
    <w:rsid w:val="00BB4AD9"/>
    <w:rsid w:val="00BB5039"/>
    <w:rsid w:val="00BC51C1"/>
    <w:rsid w:val="00BC51D0"/>
    <w:rsid w:val="00BD1AE3"/>
    <w:rsid w:val="00BD1F8A"/>
    <w:rsid w:val="00BD53BC"/>
    <w:rsid w:val="00BD67B1"/>
    <w:rsid w:val="00BE1C5D"/>
    <w:rsid w:val="00BE2422"/>
    <w:rsid w:val="00BE3BD4"/>
    <w:rsid w:val="00BE4CA4"/>
    <w:rsid w:val="00BE5E49"/>
    <w:rsid w:val="00BE71D0"/>
    <w:rsid w:val="00BF107C"/>
    <w:rsid w:val="00BF1C7B"/>
    <w:rsid w:val="00BF436F"/>
    <w:rsid w:val="00BF6394"/>
    <w:rsid w:val="00C00C83"/>
    <w:rsid w:val="00C015C9"/>
    <w:rsid w:val="00C060D7"/>
    <w:rsid w:val="00C067BA"/>
    <w:rsid w:val="00C06B1B"/>
    <w:rsid w:val="00C15C92"/>
    <w:rsid w:val="00C16872"/>
    <w:rsid w:val="00C20671"/>
    <w:rsid w:val="00C2178D"/>
    <w:rsid w:val="00C22C6F"/>
    <w:rsid w:val="00C232BD"/>
    <w:rsid w:val="00C23324"/>
    <w:rsid w:val="00C24E64"/>
    <w:rsid w:val="00C2538A"/>
    <w:rsid w:val="00C25CF8"/>
    <w:rsid w:val="00C27D2E"/>
    <w:rsid w:val="00C32E67"/>
    <w:rsid w:val="00C33B55"/>
    <w:rsid w:val="00C34AD1"/>
    <w:rsid w:val="00C367DA"/>
    <w:rsid w:val="00C446A5"/>
    <w:rsid w:val="00C45513"/>
    <w:rsid w:val="00C50C13"/>
    <w:rsid w:val="00C510C1"/>
    <w:rsid w:val="00C5548F"/>
    <w:rsid w:val="00C5566E"/>
    <w:rsid w:val="00C55753"/>
    <w:rsid w:val="00C557C9"/>
    <w:rsid w:val="00C6143B"/>
    <w:rsid w:val="00C61B49"/>
    <w:rsid w:val="00C630E2"/>
    <w:rsid w:val="00C6399A"/>
    <w:rsid w:val="00C71C88"/>
    <w:rsid w:val="00C71D54"/>
    <w:rsid w:val="00C72EA2"/>
    <w:rsid w:val="00C75764"/>
    <w:rsid w:val="00C760B8"/>
    <w:rsid w:val="00C76DF2"/>
    <w:rsid w:val="00C77D80"/>
    <w:rsid w:val="00C8164B"/>
    <w:rsid w:val="00C81DE8"/>
    <w:rsid w:val="00C82755"/>
    <w:rsid w:val="00C84E31"/>
    <w:rsid w:val="00C90004"/>
    <w:rsid w:val="00C90B4F"/>
    <w:rsid w:val="00C918AE"/>
    <w:rsid w:val="00C918CC"/>
    <w:rsid w:val="00C91CD5"/>
    <w:rsid w:val="00C96B0B"/>
    <w:rsid w:val="00CA0328"/>
    <w:rsid w:val="00CA3BDA"/>
    <w:rsid w:val="00CA423B"/>
    <w:rsid w:val="00CA467F"/>
    <w:rsid w:val="00CB06F8"/>
    <w:rsid w:val="00CB104F"/>
    <w:rsid w:val="00CB26B4"/>
    <w:rsid w:val="00CB2898"/>
    <w:rsid w:val="00CB323E"/>
    <w:rsid w:val="00CB440F"/>
    <w:rsid w:val="00CB5AF1"/>
    <w:rsid w:val="00CB7A36"/>
    <w:rsid w:val="00CC72E8"/>
    <w:rsid w:val="00CD4E39"/>
    <w:rsid w:val="00CD621C"/>
    <w:rsid w:val="00CD66D0"/>
    <w:rsid w:val="00CE0111"/>
    <w:rsid w:val="00CE4B50"/>
    <w:rsid w:val="00CF0B45"/>
    <w:rsid w:val="00CF0E25"/>
    <w:rsid w:val="00CF1652"/>
    <w:rsid w:val="00CF266C"/>
    <w:rsid w:val="00CF7458"/>
    <w:rsid w:val="00D01A4E"/>
    <w:rsid w:val="00D01E3D"/>
    <w:rsid w:val="00D02DD0"/>
    <w:rsid w:val="00D051A6"/>
    <w:rsid w:val="00D062DD"/>
    <w:rsid w:val="00D0667C"/>
    <w:rsid w:val="00D06BF8"/>
    <w:rsid w:val="00D06C73"/>
    <w:rsid w:val="00D113E3"/>
    <w:rsid w:val="00D130F0"/>
    <w:rsid w:val="00D212C0"/>
    <w:rsid w:val="00D2253F"/>
    <w:rsid w:val="00D228D6"/>
    <w:rsid w:val="00D23424"/>
    <w:rsid w:val="00D27C01"/>
    <w:rsid w:val="00D3052C"/>
    <w:rsid w:val="00D343B3"/>
    <w:rsid w:val="00D3783A"/>
    <w:rsid w:val="00D40EAB"/>
    <w:rsid w:val="00D4243C"/>
    <w:rsid w:val="00D43436"/>
    <w:rsid w:val="00D439E8"/>
    <w:rsid w:val="00D479E9"/>
    <w:rsid w:val="00D47F91"/>
    <w:rsid w:val="00D50B42"/>
    <w:rsid w:val="00D52B7B"/>
    <w:rsid w:val="00D52F1F"/>
    <w:rsid w:val="00D559F3"/>
    <w:rsid w:val="00D562B1"/>
    <w:rsid w:val="00D61415"/>
    <w:rsid w:val="00D6558E"/>
    <w:rsid w:val="00D66834"/>
    <w:rsid w:val="00D67A21"/>
    <w:rsid w:val="00D73771"/>
    <w:rsid w:val="00D73E29"/>
    <w:rsid w:val="00D74247"/>
    <w:rsid w:val="00D75B3B"/>
    <w:rsid w:val="00D75C24"/>
    <w:rsid w:val="00D75D47"/>
    <w:rsid w:val="00D76EB3"/>
    <w:rsid w:val="00D76EE6"/>
    <w:rsid w:val="00D84234"/>
    <w:rsid w:val="00D84E47"/>
    <w:rsid w:val="00D85B4F"/>
    <w:rsid w:val="00D864DE"/>
    <w:rsid w:val="00D876C7"/>
    <w:rsid w:val="00D87E5A"/>
    <w:rsid w:val="00D92C12"/>
    <w:rsid w:val="00D940E0"/>
    <w:rsid w:val="00D96213"/>
    <w:rsid w:val="00D969EF"/>
    <w:rsid w:val="00DA125B"/>
    <w:rsid w:val="00DA5BFF"/>
    <w:rsid w:val="00DA657C"/>
    <w:rsid w:val="00DA6A9A"/>
    <w:rsid w:val="00DA6B2D"/>
    <w:rsid w:val="00DB0F1F"/>
    <w:rsid w:val="00DC0233"/>
    <w:rsid w:val="00DC123B"/>
    <w:rsid w:val="00DC48BA"/>
    <w:rsid w:val="00DD0951"/>
    <w:rsid w:val="00DD597D"/>
    <w:rsid w:val="00DD7638"/>
    <w:rsid w:val="00DD7788"/>
    <w:rsid w:val="00DE2604"/>
    <w:rsid w:val="00DE38CB"/>
    <w:rsid w:val="00DE3ED9"/>
    <w:rsid w:val="00DE49AA"/>
    <w:rsid w:val="00DE4D8B"/>
    <w:rsid w:val="00DE5CA5"/>
    <w:rsid w:val="00DF1000"/>
    <w:rsid w:val="00E031A1"/>
    <w:rsid w:val="00E0476F"/>
    <w:rsid w:val="00E12BB7"/>
    <w:rsid w:val="00E14036"/>
    <w:rsid w:val="00E1554A"/>
    <w:rsid w:val="00E1670E"/>
    <w:rsid w:val="00E17071"/>
    <w:rsid w:val="00E2055E"/>
    <w:rsid w:val="00E23A3E"/>
    <w:rsid w:val="00E27F8A"/>
    <w:rsid w:val="00E31891"/>
    <w:rsid w:val="00E341BE"/>
    <w:rsid w:val="00E41062"/>
    <w:rsid w:val="00E45437"/>
    <w:rsid w:val="00E47189"/>
    <w:rsid w:val="00E47C4A"/>
    <w:rsid w:val="00E50683"/>
    <w:rsid w:val="00E527CC"/>
    <w:rsid w:val="00E5425E"/>
    <w:rsid w:val="00E54C56"/>
    <w:rsid w:val="00E54C89"/>
    <w:rsid w:val="00E551DA"/>
    <w:rsid w:val="00E56D94"/>
    <w:rsid w:val="00E57125"/>
    <w:rsid w:val="00E601BF"/>
    <w:rsid w:val="00E610CA"/>
    <w:rsid w:val="00E62288"/>
    <w:rsid w:val="00E62A69"/>
    <w:rsid w:val="00E65941"/>
    <w:rsid w:val="00E72EE0"/>
    <w:rsid w:val="00E737C7"/>
    <w:rsid w:val="00E77892"/>
    <w:rsid w:val="00E80751"/>
    <w:rsid w:val="00E80AFB"/>
    <w:rsid w:val="00E828F7"/>
    <w:rsid w:val="00E8448A"/>
    <w:rsid w:val="00E85023"/>
    <w:rsid w:val="00E86301"/>
    <w:rsid w:val="00E911A4"/>
    <w:rsid w:val="00E91986"/>
    <w:rsid w:val="00E93244"/>
    <w:rsid w:val="00E9448C"/>
    <w:rsid w:val="00E9506B"/>
    <w:rsid w:val="00E97B9D"/>
    <w:rsid w:val="00EA1103"/>
    <w:rsid w:val="00EA4EE7"/>
    <w:rsid w:val="00EB3C52"/>
    <w:rsid w:val="00EB4B04"/>
    <w:rsid w:val="00EB4C55"/>
    <w:rsid w:val="00EC116B"/>
    <w:rsid w:val="00EC11E4"/>
    <w:rsid w:val="00EC1BE1"/>
    <w:rsid w:val="00EC239C"/>
    <w:rsid w:val="00EC57A4"/>
    <w:rsid w:val="00ED0643"/>
    <w:rsid w:val="00ED1C75"/>
    <w:rsid w:val="00ED23B5"/>
    <w:rsid w:val="00ED4870"/>
    <w:rsid w:val="00ED57C9"/>
    <w:rsid w:val="00ED7389"/>
    <w:rsid w:val="00EE03F6"/>
    <w:rsid w:val="00EE327B"/>
    <w:rsid w:val="00EE37E8"/>
    <w:rsid w:val="00EE43FE"/>
    <w:rsid w:val="00EE4EB5"/>
    <w:rsid w:val="00EF01D8"/>
    <w:rsid w:val="00EF0743"/>
    <w:rsid w:val="00EF1BA2"/>
    <w:rsid w:val="00EF2731"/>
    <w:rsid w:val="00EF5D48"/>
    <w:rsid w:val="00EF62AE"/>
    <w:rsid w:val="00EF6EB0"/>
    <w:rsid w:val="00F0568F"/>
    <w:rsid w:val="00F073DE"/>
    <w:rsid w:val="00F07477"/>
    <w:rsid w:val="00F077B4"/>
    <w:rsid w:val="00F10CF4"/>
    <w:rsid w:val="00F12F2B"/>
    <w:rsid w:val="00F143A7"/>
    <w:rsid w:val="00F20148"/>
    <w:rsid w:val="00F21542"/>
    <w:rsid w:val="00F221B8"/>
    <w:rsid w:val="00F247F0"/>
    <w:rsid w:val="00F24C8D"/>
    <w:rsid w:val="00F2635A"/>
    <w:rsid w:val="00F34CCC"/>
    <w:rsid w:val="00F360C6"/>
    <w:rsid w:val="00F411B0"/>
    <w:rsid w:val="00F415DB"/>
    <w:rsid w:val="00F421C9"/>
    <w:rsid w:val="00F42BF3"/>
    <w:rsid w:val="00F453FB"/>
    <w:rsid w:val="00F47CB7"/>
    <w:rsid w:val="00F576A2"/>
    <w:rsid w:val="00F674CB"/>
    <w:rsid w:val="00F67831"/>
    <w:rsid w:val="00F74783"/>
    <w:rsid w:val="00F8178B"/>
    <w:rsid w:val="00F81DDF"/>
    <w:rsid w:val="00F8323A"/>
    <w:rsid w:val="00F83841"/>
    <w:rsid w:val="00F87644"/>
    <w:rsid w:val="00F90E46"/>
    <w:rsid w:val="00F9171C"/>
    <w:rsid w:val="00F92C64"/>
    <w:rsid w:val="00F93905"/>
    <w:rsid w:val="00F9430B"/>
    <w:rsid w:val="00F95F46"/>
    <w:rsid w:val="00F973D1"/>
    <w:rsid w:val="00FA0776"/>
    <w:rsid w:val="00FB001F"/>
    <w:rsid w:val="00FB09DE"/>
    <w:rsid w:val="00FB3415"/>
    <w:rsid w:val="00FB34D9"/>
    <w:rsid w:val="00FB3862"/>
    <w:rsid w:val="00FB4926"/>
    <w:rsid w:val="00FB6FA2"/>
    <w:rsid w:val="00FB7EC5"/>
    <w:rsid w:val="00FC0670"/>
    <w:rsid w:val="00FC3641"/>
    <w:rsid w:val="00FC5CC0"/>
    <w:rsid w:val="00FC6898"/>
    <w:rsid w:val="00FC73C5"/>
    <w:rsid w:val="00FD1726"/>
    <w:rsid w:val="00FD2C20"/>
    <w:rsid w:val="00FD41BB"/>
    <w:rsid w:val="00FD58C6"/>
    <w:rsid w:val="00FE06D9"/>
    <w:rsid w:val="00FE2F32"/>
    <w:rsid w:val="00FE4D13"/>
    <w:rsid w:val="00FE741F"/>
    <w:rsid w:val="00FF2CB5"/>
    <w:rsid w:val="00FF4D4D"/>
    <w:rsid w:val="00FF5325"/>
    <w:rsid w:val="00FF5ACB"/>
    <w:rsid w:val="2B30352A"/>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E04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qFormat/>
    <w:rsid w:val="00285926"/>
    <w:pPr>
      <w:jc w:val="both"/>
    </w:pPr>
    <w:rPr>
      <w:rFonts w:ascii="Times New Roman" w:hAnsi="Times New Roman"/>
    </w:rPr>
  </w:style>
  <w:style w:type="paragraph" w:styleId="Titolo1">
    <w:name w:val="heading 1"/>
    <w:basedOn w:val="Normale"/>
    <w:next w:val="Normale"/>
    <w:link w:val="Titolo1Carattere"/>
    <w:uiPriority w:val="9"/>
    <w:qFormat/>
    <w:rsid w:val="00630033"/>
    <w:pPr>
      <w:keepNext/>
      <w:keepLines/>
      <w:spacing w:before="480"/>
      <w:outlineLvl w:val="0"/>
    </w:pPr>
    <w:rPr>
      <w:rFonts w:eastAsiaTheme="majorEastAsia" w:cs="Times New Roman"/>
      <w:b/>
      <w:bCs/>
      <w:sz w:val="32"/>
      <w:szCs w:val="32"/>
    </w:rPr>
  </w:style>
  <w:style w:type="paragraph" w:styleId="Titolo2">
    <w:name w:val="heading 2"/>
    <w:basedOn w:val="Normale"/>
    <w:next w:val="Normale"/>
    <w:link w:val="Titolo2Carattere"/>
    <w:uiPriority w:val="9"/>
    <w:unhideWhenUsed/>
    <w:qFormat/>
    <w:rsid w:val="00630033"/>
    <w:pPr>
      <w:keepNext/>
      <w:keepLines/>
      <w:spacing w:before="200"/>
      <w:outlineLvl w:val="1"/>
    </w:pPr>
    <w:rPr>
      <w:rFonts w:eastAsiaTheme="majorEastAsia" w:cs="Times New Roman"/>
      <w:b/>
      <w:bCs/>
      <w:sz w:val="26"/>
      <w:szCs w:val="26"/>
    </w:rPr>
  </w:style>
  <w:style w:type="paragraph" w:styleId="Titolo3">
    <w:name w:val="heading 3"/>
    <w:basedOn w:val="Normale"/>
    <w:next w:val="Normale"/>
    <w:link w:val="Titolo3Carattere"/>
    <w:uiPriority w:val="9"/>
    <w:unhideWhenUsed/>
    <w:qFormat/>
    <w:rsid w:val="00990103"/>
    <w:pPr>
      <w:keepNext/>
      <w:keepLines/>
      <w:spacing w:before="200"/>
      <w:outlineLvl w:val="2"/>
    </w:pPr>
    <w:rPr>
      <w:rFonts w:eastAsiaTheme="majorEastAsia" w:cs="Times New Roman"/>
      <w:b/>
      <w:bCs/>
      <w: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rsid w:val="00D4243C"/>
    <w:pPr>
      <w:ind w:left="720"/>
      <w:contextualSpacing/>
    </w:pPr>
  </w:style>
  <w:style w:type="paragraph" w:styleId="Intestazione">
    <w:name w:val="header"/>
    <w:basedOn w:val="Normale"/>
    <w:link w:val="IntestazioneCarattere"/>
    <w:uiPriority w:val="99"/>
    <w:unhideWhenUsed/>
    <w:rsid w:val="00AA4182"/>
    <w:pPr>
      <w:tabs>
        <w:tab w:val="center" w:pos="4819"/>
        <w:tab w:val="right" w:pos="9638"/>
      </w:tabs>
    </w:pPr>
  </w:style>
  <w:style w:type="character" w:customStyle="1" w:styleId="IntestazioneCarattere">
    <w:name w:val="Intestazione Carattere"/>
    <w:basedOn w:val="Caratterepredefinitoparagrafo"/>
    <w:link w:val="Intestazione"/>
    <w:uiPriority w:val="99"/>
    <w:rsid w:val="00AA4182"/>
  </w:style>
  <w:style w:type="paragraph" w:styleId="Pidipagina">
    <w:name w:val="footer"/>
    <w:basedOn w:val="Normale"/>
    <w:link w:val="PidipaginaCarattere"/>
    <w:uiPriority w:val="99"/>
    <w:unhideWhenUsed/>
    <w:rsid w:val="00AA4182"/>
    <w:pPr>
      <w:tabs>
        <w:tab w:val="center" w:pos="4819"/>
        <w:tab w:val="right" w:pos="9638"/>
      </w:tabs>
    </w:pPr>
  </w:style>
  <w:style w:type="character" w:customStyle="1" w:styleId="PidipaginaCarattere">
    <w:name w:val="Piè di pagina Carattere"/>
    <w:basedOn w:val="Caratterepredefinitoparagrafo"/>
    <w:link w:val="Pidipagina"/>
    <w:uiPriority w:val="99"/>
    <w:rsid w:val="00AA4182"/>
  </w:style>
  <w:style w:type="character" w:styleId="Collegamentoipertestuale">
    <w:name w:val="Hyperlink"/>
    <w:basedOn w:val="Caratterepredefinitoparagrafo"/>
    <w:uiPriority w:val="99"/>
    <w:unhideWhenUsed/>
    <w:rsid w:val="00E80AFB"/>
    <w:rPr>
      <w:color w:val="0000FF" w:themeColor="hyperlink"/>
      <w:u w:val="single"/>
    </w:rPr>
  </w:style>
  <w:style w:type="paragraph" w:styleId="Testonotaapidipagina">
    <w:name w:val="footnote text"/>
    <w:basedOn w:val="Normale"/>
    <w:link w:val="TestonotaapidipaginaCarattere"/>
    <w:uiPriority w:val="99"/>
    <w:unhideWhenUsed/>
    <w:rsid w:val="00D96213"/>
    <w:pPr>
      <w:ind w:firstLine="567"/>
    </w:pPr>
    <w:rPr>
      <w:rFonts w:cs="Times New Roman"/>
      <w:sz w:val="20"/>
      <w:szCs w:val="20"/>
    </w:rPr>
  </w:style>
  <w:style w:type="character" w:customStyle="1" w:styleId="TestonotaapidipaginaCarattere">
    <w:name w:val="Testo nota a piè di pagina Carattere"/>
    <w:basedOn w:val="Caratterepredefinitoparagrafo"/>
    <w:link w:val="Testonotaapidipagina"/>
    <w:uiPriority w:val="99"/>
    <w:rsid w:val="00D96213"/>
    <w:rPr>
      <w:rFonts w:ascii="Times New Roman" w:hAnsi="Times New Roman" w:cs="Times New Roman"/>
      <w:sz w:val="20"/>
      <w:szCs w:val="20"/>
    </w:rPr>
  </w:style>
  <w:style w:type="character" w:styleId="Rimandonotaapidipagina">
    <w:name w:val="footnote reference"/>
    <w:basedOn w:val="Caratterepredefinitoparagrafo"/>
    <w:uiPriority w:val="99"/>
    <w:unhideWhenUsed/>
    <w:rsid w:val="003B2F39"/>
    <w:rPr>
      <w:vertAlign w:val="superscript"/>
    </w:rPr>
  </w:style>
  <w:style w:type="character" w:styleId="Numeropagina">
    <w:name w:val="page number"/>
    <w:basedOn w:val="Caratterepredefinitoparagrafo"/>
    <w:uiPriority w:val="99"/>
    <w:semiHidden/>
    <w:unhideWhenUsed/>
    <w:rsid w:val="003B2F39"/>
  </w:style>
  <w:style w:type="paragraph" w:styleId="Testofumetto">
    <w:name w:val="Balloon Text"/>
    <w:basedOn w:val="Normale"/>
    <w:link w:val="TestofumettoCarattere"/>
    <w:uiPriority w:val="99"/>
    <w:semiHidden/>
    <w:unhideWhenUsed/>
    <w:rsid w:val="00DE49A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E49AA"/>
    <w:rPr>
      <w:rFonts w:ascii="Lucida Grande" w:hAnsi="Lucida Grande" w:cs="Lucida Grande"/>
      <w:sz w:val="18"/>
      <w:szCs w:val="18"/>
    </w:rPr>
  </w:style>
  <w:style w:type="paragraph" w:styleId="Sommario1">
    <w:name w:val="toc 1"/>
    <w:basedOn w:val="Normale"/>
    <w:next w:val="Normale"/>
    <w:autoRedefine/>
    <w:uiPriority w:val="39"/>
    <w:unhideWhenUsed/>
    <w:rsid w:val="00990103"/>
    <w:pPr>
      <w:tabs>
        <w:tab w:val="right" w:pos="9622"/>
      </w:tabs>
      <w:spacing w:before="100" w:beforeAutospacing="1"/>
    </w:pPr>
    <w:rPr>
      <w:b/>
      <w:sz w:val="28"/>
      <w:szCs w:val="22"/>
    </w:rPr>
  </w:style>
  <w:style w:type="paragraph" w:styleId="Sommario2">
    <w:name w:val="toc 2"/>
    <w:basedOn w:val="Normale"/>
    <w:next w:val="Normale"/>
    <w:autoRedefine/>
    <w:uiPriority w:val="39"/>
    <w:unhideWhenUsed/>
    <w:rsid w:val="00A40708"/>
    <w:pPr>
      <w:tabs>
        <w:tab w:val="right" w:pos="9622"/>
      </w:tabs>
      <w:spacing w:before="120"/>
      <w:ind w:left="238"/>
    </w:pPr>
    <w:rPr>
      <w:i/>
      <w:sz w:val="28"/>
      <w:szCs w:val="22"/>
    </w:rPr>
  </w:style>
  <w:style w:type="paragraph" w:styleId="Sommario3">
    <w:name w:val="toc 3"/>
    <w:basedOn w:val="Normale"/>
    <w:next w:val="Normale"/>
    <w:autoRedefine/>
    <w:uiPriority w:val="39"/>
    <w:unhideWhenUsed/>
    <w:rsid w:val="001A6F11"/>
    <w:pPr>
      <w:ind w:left="480"/>
    </w:pPr>
    <w:rPr>
      <w:szCs w:val="22"/>
    </w:rPr>
  </w:style>
  <w:style w:type="paragraph" w:styleId="Sommario4">
    <w:name w:val="toc 4"/>
    <w:basedOn w:val="Normale"/>
    <w:next w:val="Normale"/>
    <w:autoRedefine/>
    <w:uiPriority w:val="39"/>
    <w:unhideWhenUsed/>
    <w:rsid w:val="007B1991"/>
    <w:pPr>
      <w:ind w:left="720"/>
    </w:pPr>
    <w:rPr>
      <w:sz w:val="20"/>
      <w:szCs w:val="20"/>
    </w:rPr>
  </w:style>
  <w:style w:type="paragraph" w:styleId="Sommario5">
    <w:name w:val="toc 5"/>
    <w:basedOn w:val="Normale"/>
    <w:next w:val="Normale"/>
    <w:autoRedefine/>
    <w:uiPriority w:val="39"/>
    <w:unhideWhenUsed/>
    <w:rsid w:val="007B1991"/>
    <w:pPr>
      <w:ind w:left="960"/>
    </w:pPr>
    <w:rPr>
      <w:sz w:val="20"/>
      <w:szCs w:val="20"/>
    </w:rPr>
  </w:style>
  <w:style w:type="paragraph" w:styleId="Sommario6">
    <w:name w:val="toc 6"/>
    <w:basedOn w:val="Normale"/>
    <w:next w:val="Normale"/>
    <w:autoRedefine/>
    <w:uiPriority w:val="39"/>
    <w:unhideWhenUsed/>
    <w:rsid w:val="007B1991"/>
    <w:pPr>
      <w:ind w:left="1200"/>
    </w:pPr>
    <w:rPr>
      <w:sz w:val="20"/>
      <w:szCs w:val="20"/>
    </w:rPr>
  </w:style>
  <w:style w:type="paragraph" w:styleId="Sommario7">
    <w:name w:val="toc 7"/>
    <w:basedOn w:val="Normale"/>
    <w:next w:val="Normale"/>
    <w:autoRedefine/>
    <w:uiPriority w:val="39"/>
    <w:unhideWhenUsed/>
    <w:rsid w:val="007B1991"/>
    <w:pPr>
      <w:ind w:left="1440"/>
    </w:pPr>
    <w:rPr>
      <w:sz w:val="20"/>
      <w:szCs w:val="20"/>
    </w:rPr>
  </w:style>
  <w:style w:type="paragraph" w:styleId="Sommario8">
    <w:name w:val="toc 8"/>
    <w:basedOn w:val="Normale"/>
    <w:next w:val="Normale"/>
    <w:autoRedefine/>
    <w:uiPriority w:val="39"/>
    <w:unhideWhenUsed/>
    <w:rsid w:val="007B1991"/>
    <w:pPr>
      <w:ind w:left="1680"/>
    </w:pPr>
    <w:rPr>
      <w:sz w:val="20"/>
      <w:szCs w:val="20"/>
    </w:rPr>
  </w:style>
  <w:style w:type="paragraph" w:styleId="Sommario9">
    <w:name w:val="toc 9"/>
    <w:basedOn w:val="Normale"/>
    <w:next w:val="Normale"/>
    <w:autoRedefine/>
    <w:uiPriority w:val="39"/>
    <w:unhideWhenUsed/>
    <w:rsid w:val="007B1991"/>
    <w:pPr>
      <w:ind w:left="1920"/>
    </w:pPr>
    <w:rPr>
      <w:sz w:val="20"/>
      <w:szCs w:val="20"/>
    </w:rPr>
  </w:style>
  <w:style w:type="paragraph" w:styleId="Indice1">
    <w:name w:val="index 1"/>
    <w:basedOn w:val="Normale"/>
    <w:next w:val="Normale"/>
    <w:autoRedefine/>
    <w:uiPriority w:val="99"/>
    <w:unhideWhenUsed/>
    <w:rsid w:val="007B1991"/>
    <w:pPr>
      <w:ind w:left="240" w:hanging="240"/>
    </w:pPr>
  </w:style>
  <w:style w:type="paragraph" w:styleId="Indice2">
    <w:name w:val="index 2"/>
    <w:basedOn w:val="Normale"/>
    <w:next w:val="Normale"/>
    <w:autoRedefine/>
    <w:uiPriority w:val="99"/>
    <w:unhideWhenUsed/>
    <w:rsid w:val="007B1991"/>
    <w:pPr>
      <w:ind w:left="480" w:hanging="240"/>
    </w:pPr>
  </w:style>
  <w:style w:type="paragraph" w:styleId="Indice3">
    <w:name w:val="index 3"/>
    <w:basedOn w:val="Normale"/>
    <w:next w:val="Normale"/>
    <w:autoRedefine/>
    <w:uiPriority w:val="99"/>
    <w:unhideWhenUsed/>
    <w:rsid w:val="007B1991"/>
    <w:pPr>
      <w:ind w:left="720" w:hanging="240"/>
    </w:pPr>
  </w:style>
  <w:style w:type="paragraph" w:styleId="Indice4">
    <w:name w:val="index 4"/>
    <w:basedOn w:val="Normale"/>
    <w:next w:val="Normale"/>
    <w:autoRedefine/>
    <w:uiPriority w:val="99"/>
    <w:unhideWhenUsed/>
    <w:rsid w:val="007B1991"/>
    <w:pPr>
      <w:ind w:left="960" w:hanging="240"/>
    </w:pPr>
  </w:style>
  <w:style w:type="paragraph" w:styleId="Indice5">
    <w:name w:val="index 5"/>
    <w:basedOn w:val="Normale"/>
    <w:next w:val="Normale"/>
    <w:autoRedefine/>
    <w:uiPriority w:val="99"/>
    <w:unhideWhenUsed/>
    <w:rsid w:val="007B1991"/>
    <w:pPr>
      <w:ind w:left="1200" w:hanging="240"/>
    </w:pPr>
  </w:style>
  <w:style w:type="paragraph" w:styleId="Indice6">
    <w:name w:val="index 6"/>
    <w:basedOn w:val="Normale"/>
    <w:next w:val="Normale"/>
    <w:autoRedefine/>
    <w:uiPriority w:val="99"/>
    <w:unhideWhenUsed/>
    <w:rsid w:val="007B1991"/>
    <w:pPr>
      <w:ind w:left="1440" w:hanging="240"/>
    </w:pPr>
  </w:style>
  <w:style w:type="paragraph" w:styleId="Indice7">
    <w:name w:val="index 7"/>
    <w:basedOn w:val="Normale"/>
    <w:next w:val="Normale"/>
    <w:autoRedefine/>
    <w:uiPriority w:val="99"/>
    <w:unhideWhenUsed/>
    <w:rsid w:val="007B1991"/>
    <w:pPr>
      <w:ind w:left="1680" w:hanging="240"/>
    </w:pPr>
  </w:style>
  <w:style w:type="paragraph" w:styleId="Indice8">
    <w:name w:val="index 8"/>
    <w:basedOn w:val="Normale"/>
    <w:next w:val="Normale"/>
    <w:autoRedefine/>
    <w:uiPriority w:val="99"/>
    <w:unhideWhenUsed/>
    <w:rsid w:val="007B1991"/>
    <w:pPr>
      <w:ind w:left="1920" w:hanging="240"/>
    </w:pPr>
  </w:style>
  <w:style w:type="paragraph" w:styleId="Indice9">
    <w:name w:val="index 9"/>
    <w:basedOn w:val="Normale"/>
    <w:next w:val="Normale"/>
    <w:autoRedefine/>
    <w:uiPriority w:val="99"/>
    <w:unhideWhenUsed/>
    <w:rsid w:val="007B1991"/>
    <w:pPr>
      <w:ind w:left="2160" w:hanging="240"/>
    </w:pPr>
  </w:style>
  <w:style w:type="paragraph" w:styleId="Titoloindice">
    <w:name w:val="index heading"/>
    <w:basedOn w:val="Normale"/>
    <w:next w:val="Indice1"/>
    <w:uiPriority w:val="99"/>
    <w:unhideWhenUsed/>
    <w:rsid w:val="007B1991"/>
  </w:style>
  <w:style w:type="character" w:customStyle="1" w:styleId="Titolo1Carattere">
    <w:name w:val="Titolo 1 Carattere"/>
    <w:basedOn w:val="Caratterepredefinitoparagrafo"/>
    <w:link w:val="Titolo1"/>
    <w:uiPriority w:val="9"/>
    <w:rsid w:val="00630033"/>
    <w:rPr>
      <w:rFonts w:ascii="Times New Roman" w:eastAsiaTheme="majorEastAsia" w:hAnsi="Times New Roman" w:cs="Times New Roman"/>
      <w:b/>
      <w:bCs/>
      <w:sz w:val="32"/>
      <w:szCs w:val="32"/>
    </w:rPr>
  </w:style>
  <w:style w:type="paragraph" w:styleId="Titolosommario">
    <w:name w:val="TOC Heading"/>
    <w:basedOn w:val="Titolo1"/>
    <w:next w:val="Normale"/>
    <w:uiPriority w:val="39"/>
    <w:unhideWhenUsed/>
    <w:qFormat/>
    <w:rsid w:val="00E57125"/>
    <w:pPr>
      <w:spacing w:line="276" w:lineRule="auto"/>
      <w:jc w:val="center"/>
      <w:outlineLvl w:val="9"/>
    </w:pPr>
  </w:style>
  <w:style w:type="character" w:customStyle="1" w:styleId="Titolo2Carattere">
    <w:name w:val="Titolo 2 Carattere"/>
    <w:basedOn w:val="Caratterepredefinitoparagrafo"/>
    <w:link w:val="Titolo2"/>
    <w:uiPriority w:val="9"/>
    <w:rsid w:val="00630033"/>
    <w:rPr>
      <w:rFonts w:ascii="Times New Roman" w:eastAsiaTheme="majorEastAsia" w:hAnsi="Times New Roman" w:cs="Times New Roman"/>
      <w:b/>
      <w:bCs/>
      <w:sz w:val="26"/>
      <w:szCs w:val="26"/>
    </w:rPr>
  </w:style>
  <w:style w:type="character" w:customStyle="1" w:styleId="Titolo3Carattere">
    <w:name w:val="Titolo 3 Carattere"/>
    <w:basedOn w:val="Caratterepredefinitoparagrafo"/>
    <w:link w:val="Titolo3"/>
    <w:uiPriority w:val="9"/>
    <w:rsid w:val="00990103"/>
    <w:rPr>
      <w:rFonts w:ascii="Times New Roman" w:eastAsiaTheme="majorEastAsia" w:hAnsi="Times New Roman" w:cs="Times New Roman"/>
      <w:b/>
      <w:bCs/>
      <w:i/>
    </w:rPr>
  </w:style>
  <w:style w:type="character" w:styleId="Rimandocommento">
    <w:name w:val="annotation reference"/>
    <w:basedOn w:val="Caratterepredefinitoparagrafo"/>
    <w:uiPriority w:val="99"/>
    <w:semiHidden/>
    <w:unhideWhenUsed/>
    <w:rsid w:val="00C77D80"/>
    <w:rPr>
      <w:sz w:val="18"/>
      <w:szCs w:val="18"/>
    </w:rPr>
  </w:style>
  <w:style w:type="paragraph" w:styleId="Testocommento">
    <w:name w:val="annotation text"/>
    <w:basedOn w:val="Normale"/>
    <w:link w:val="TestocommentoCarattere"/>
    <w:uiPriority w:val="99"/>
    <w:semiHidden/>
    <w:unhideWhenUsed/>
    <w:rsid w:val="00C77D80"/>
  </w:style>
  <w:style w:type="character" w:customStyle="1" w:styleId="TestocommentoCarattere">
    <w:name w:val="Testo commento Carattere"/>
    <w:basedOn w:val="Caratterepredefinitoparagrafo"/>
    <w:link w:val="Testocommento"/>
    <w:uiPriority w:val="99"/>
    <w:semiHidden/>
    <w:rsid w:val="00C77D80"/>
  </w:style>
  <w:style w:type="paragraph" w:styleId="Soggettocommento">
    <w:name w:val="annotation subject"/>
    <w:basedOn w:val="Testocommento"/>
    <w:next w:val="Testocommento"/>
    <w:link w:val="SoggettocommentoCarattere"/>
    <w:uiPriority w:val="99"/>
    <w:semiHidden/>
    <w:unhideWhenUsed/>
    <w:rsid w:val="00C77D80"/>
    <w:rPr>
      <w:b/>
      <w:bCs/>
      <w:sz w:val="20"/>
      <w:szCs w:val="20"/>
    </w:rPr>
  </w:style>
  <w:style w:type="character" w:customStyle="1" w:styleId="SoggettocommentoCarattere">
    <w:name w:val="Soggetto commento Carattere"/>
    <w:basedOn w:val="TestocommentoCarattere"/>
    <w:link w:val="Soggettocommento"/>
    <w:uiPriority w:val="99"/>
    <w:semiHidden/>
    <w:rsid w:val="00C77D80"/>
    <w:rPr>
      <w:b/>
      <w:bCs/>
      <w:sz w:val="20"/>
      <w:szCs w:val="20"/>
    </w:rPr>
  </w:style>
  <w:style w:type="paragraph" w:styleId="Testonotadichiusura">
    <w:name w:val="endnote text"/>
    <w:basedOn w:val="Normale"/>
    <w:link w:val="TestonotadichiusuraCarattere"/>
    <w:uiPriority w:val="99"/>
    <w:unhideWhenUsed/>
    <w:rsid w:val="001E3885"/>
  </w:style>
  <w:style w:type="character" w:customStyle="1" w:styleId="TestonotadichiusuraCarattere">
    <w:name w:val="Testo nota di chiusura Carattere"/>
    <w:basedOn w:val="Caratterepredefinitoparagrafo"/>
    <w:link w:val="Testonotadichiusura"/>
    <w:uiPriority w:val="99"/>
    <w:rsid w:val="001E3885"/>
  </w:style>
  <w:style w:type="character" w:styleId="Rimandonotadichiusura">
    <w:name w:val="endnote reference"/>
    <w:basedOn w:val="Caratterepredefinitoparagrafo"/>
    <w:uiPriority w:val="99"/>
    <w:unhideWhenUsed/>
    <w:rsid w:val="001E3885"/>
    <w:rPr>
      <w:vertAlign w:val="superscript"/>
    </w:rPr>
  </w:style>
  <w:style w:type="character" w:styleId="Enfasidelicata">
    <w:name w:val="Subtle Emphasis"/>
    <w:aliases w:val="Nota a piè di pagina"/>
    <w:uiPriority w:val="19"/>
    <w:qFormat/>
    <w:rsid w:val="003C3476"/>
  </w:style>
  <w:style w:type="paragraph" w:customStyle="1" w:styleId="Default">
    <w:name w:val="Default"/>
    <w:rsid w:val="003632C9"/>
    <w:pPr>
      <w:widowControl w:val="0"/>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3632C9"/>
    <w:rPr>
      <w:rFonts w:cs="Times New Roman"/>
      <w:color w:val="auto"/>
    </w:rPr>
  </w:style>
  <w:style w:type="paragraph" w:customStyle="1" w:styleId="CM3">
    <w:name w:val="CM3"/>
    <w:basedOn w:val="Default"/>
    <w:next w:val="Default"/>
    <w:uiPriority w:val="99"/>
    <w:rsid w:val="003632C9"/>
    <w:rPr>
      <w:rFonts w:cs="Times New Roman"/>
      <w:color w:val="auto"/>
    </w:rPr>
  </w:style>
  <w:style w:type="character" w:styleId="Collegamentovisitato">
    <w:name w:val="FollowedHyperlink"/>
    <w:basedOn w:val="Caratterepredefinitoparagrafo"/>
    <w:uiPriority w:val="99"/>
    <w:semiHidden/>
    <w:unhideWhenUsed/>
    <w:rsid w:val="004D3978"/>
    <w:rPr>
      <w:color w:val="800080" w:themeColor="followedHyperlink"/>
      <w:u w:val="single"/>
    </w:rPr>
  </w:style>
  <w:style w:type="paragraph" w:styleId="Revisione">
    <w:name w:val="Revision"/>
    <w:hidden/>
    <w:uiPriority w:val="99"/>
    <w:semiHidden/>
    <w:rsid w:val="00872B36"/>
    <w:rPr>
      <w:rFonts w:ascii="Times New Roman" w:hAnsi="Times New Roman"/>
    </w:rPr>
  </w:style>
  <w:style w:type="paragraph" w:styleId="Mappadocumento">
    <w:name w:val="Document Map"/>
    <w:basedOn w:val="Normale"/>
    <w:link w:val="MappadocumentoCarattere"/>
    <w:uiPriority w:val="99"/>
    <w:semiHidden/>
    <w:unhideWhenUsed/>
    <w:rsid w:val="00872B36"/>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872B36"/>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Testo"/>
    <w:qFormat/>
    <w:rsid w:val="00285926"/>
    <w:pPr>
      <w:jc w:val="both"/>
    </w:pPr>
    <w:rPr>
      <w:rFonts w:ascii="Times New Roman" w:hAnsi="Times New Roman"/>
    </w:rPr>
  </w:style>
  <w:style w:type="paragraph" w:styleId="Titolo1">
    <w:name w:val="heading 1"/>
    <w:basedOn w:val="Normale"/>
    <w:next w:val="Normale"/>
    <w:link w:val="Titolo1Carattere"/>
    <w:uiPriority w:val="9"/>
    <w:qFormat/>
    <w:rsid w:val="00630033"/>
    <w:pPr>
      <w:keepNext/>
      <w:keepLines/>
      <w:spacing w:before="480"/>
      <w:outlineLvl w:val="0"/>
    </w:pPr>
    <w:rPr>
      <w:rFonts w:eastAsiaTheme="majorEastAsia" w:cs="Times New Roman"/>
      <w:b/>
      <w:bCs/>
      <w:sz w:val="32"/>
      <w:szCs w:val="32"/>
    </w:rPr>
  </w:style>
  <w:style w:type="paragraph" w:styleId="Titolo2">
    <w:name w:val="heading 2"/>
    <w:basedOn w:val="Normale"/>
    <w:next w:val="Normale"/>
    <w:link w:val="Titolo2Carattere"/>
    <w:uiPriority w:val="9"/>
    <w:unhideWhenUsed/>
    <w:qFormat/>
    <w:rsid w:val="00630033"/>
    <w:pPr>
      <w:keepNext/>
      <w:keepLines/>
      <w:spacing w:before="200"/>
      <w:outlineLvl w:val="1"/>
    </w:pPr>
    <w:rPr>
      <w:rFonts w:eastAsiaTheme="majorEastAsia" w:cs="Times New Roman"/>
      <w:b/>
      <w:bCs/>
      <w:sz w:val="26"/>
      <w:szCs w:val="26"/>
    </w:rPr>
  </w:style>
  <w:style w:type="paragraph" w:styleId="Titolo3">
    <w:name w:val="heading 3"/>
    <w:basedOn w:val="Normale"/>
    <w:next w:val="Normale"/>
    <w:link w:val="Titolo3Carattere"/>
    <w:uiPriority w:val="9"/>
    <w:unhideWhenUsed/>
    <w:qFormat/>
    <w:rsid w:val="00990103"/>
    <w:pPr>
      <w:keepNext/>
      <w:keepLines/>
      <w:spacing w:before="200"/>
      <w:outlineLvl w:val="2"/>
    </w:pPr>
    <w:rPr>
      <w:rFonts w:eastAsiaTheme="majorEastAsia" w:cs="Times New Roman"/>
      <w:b/>
      <w:bCs/>
      <w:i/>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rsid w:val="00D4243C"/>
    <w:pPr>
      <w:ind w:left="720"/>
      <w:contextualSpacing/>
    </w:pPr>
  </w:style>
  <w:style w:type="paragraph" w:styleId="Intestazione">
    <w:name w:val="header"/>
    <w:basedOn w:val="Normale"/>
    <w:link w:val="IntestazioneCarattere"/>
    <w:uiPriority w:val="99"/>
    <w:unhideWhenUsed/>
    <w:rsid w:val="00AA4182"/>
    <w:pPr>
      <w:tabs>
        <w:tab w:val="center" w:pos="4819"/>
        <w:tab w:val="right" w:pos="9638"/>
      </w:tabs>
    </w:pPr>
  </w:style>
  <w:style w:type="character" w:customStyle="1" w:styleId="IntestazioneCarattere">
    <w:name w:val="Intestazione Carattere"/>
    <w:basedOn w:val="Caratterepredefinitoparagrafo"/>
    <w:link w:val="Intestazione"/>
    <w:uiPriority w:val="99"/>
    <w:rsid w:val="00AA4182"/>
  </w:style>
  <w:style w:type="paragraph" w:styleId="Pidipagina">
    <w:name w:val="footer"/>
    <w:basedOn w:val="Normale"/>
    <w:link w:val="PidipaginaCarattere"/>
    <w:uiPriority w:val="99"/>
    <w:unhideWhenUsed/>
    <w:rsid w:val="00AA4182"/>
    <w:pPr>
      <w:tabs>
        <w:tab w:val="center" w:pos="4819"/>
        <w:tab w:val="right" w:pos="9638"/>
      </w:tabs>
    </w:pPr>
  </w:style>
  <w:style w:type="character" w:customStyle="1" w:styleId="PidipaginaCarattere">
    <w:name w:val="Piè di pagina Carattere"/>
    <w:basedOn w:val="Caratterepredefinitoparagrafo"/>
    <w:link w:val="Pidipagina"/>
    <w:uiPriority w:val="99"/>
    <w:rsid w:val="00AA4182"/>
  </w:style>
  <w:style w:type="character" w:styleId="Collegamentoipertestuale">
    <w:name w:val="Hyperlink"/>
    <w:basedOn w:val="Caratterepredefinitoparagrafo"/>
    <w:uiPriority w:val="99"/>
    <w:unhideWhenUsed/>
    <w:rsid w:val="00E80AFB"/>
    <w:rPr>
      <w:color w:val="0000FF" w:themeColor="hyperlink"/>
      <w:u w:val="single"/>
    </w:rPr>
  </w:style>
  <w:style w:type="paragraph" w:styleId="Testonotaapidipagina">
    <w:name w:val="footnote text"/>
    <w:basedOn w:val="Normale"/>
    <w:link w:val="TestonotaapidipaginaCarattere"/>
    <w:uiPriority w:val="99"/>
    <w:unhideWhenUsed/>
    <w:rsid w:val="00D96213"/>
    <w:pPr>
      <w:ind w:firstLine="567"/>
    </w:pPr>
    <w:rPr>
      <w:rFonts w:cs="Times New Roman"/>
      <w:sz w:val="20"/>
      <w:szCs w:val="20"/>
    </w:rPr>
  </w:style>
  <w:style w:type="character" w:customStyle="1" w:styleId="TestonotaapidipaginaCarattere">
    <w:name w:val="Testo nota a piè di pagina Carattere"/>
    <w:basedOn w:val="Caratterepredefinitoparagrafo"/>
    <w:link w:val="Testonotaapidipagina"/>
    <w:uiPriority w:val="99"/>
    <w:rsid w:val="00D96213"/>
    <w:rPr>
      <w:rFonts w:ascii="Times New Roman" w:hAnsi="Times New Roman" w:cs="Times New Roman"/>
      <w:sz w:val="20"/>
      <w:szCs w:val="20"/>
    </w:rPr>
  </w:style>
  <w:style w:type="character" w:styleId="Rimandonotaapidipagina">
    <w:name w:val="footnote reference"/>
    <w:basedOn w:val="Caratterepredefinitoparagrafo"/>
    <w:uiPriority w:val="99"/>
    <w:unhideWhenUsed/>
    <w:rsid w:val="003B2F39"/>
    <w:rPr>
      <w:vertAlign w:val="superscript"/>
    </w:rPr>
  </w:style>
  <w:style w:type="character" w:styleId="Numeropagina">
    <w:name w:val="page number"/>
    <w:basedOn w:val="Caratterepredefinitoparagrafo"/>
    <w:uiPriority w:val="99"/>
    <w:semiHidden/>
    <w:unhideWhenUsed/>
    <w:rsid w:val="003B2F39"/>
  </w:style>
  <w:style w:type="paragraph" w:styleId="Testofumetto">
    <w:name w:val="Balloon Text"/>
    <w:basedOn w:val="Normale"/>
    <w:link w:val="TestofumettoCarattere"/>
    <w:uiPriority w:val="99"/>
    <w:semiHidden/>
    <w:unhideWhenUsed/>
    <w:rsid w:val="00DE49AA"/>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E49AA"/>
    <w:rPr>
      <w:rFonts w:ascii="Lucida Grande" w:hAnsi="Lucida Grande" w:cs="Lucida Grande"/>
      <w:sz w:val="18"/>
      <w:szCs w:val="18"/>
    </w:rPr>
  </w:style>
  <w:style w:type="paragraph" w:styleId="Sommario1">
    <w:name w:val="toc 1"/>
    <w:basedOn w:val="Normale"/>
    <w:next w:val="Normale"/>
    <w:autoRedefine/>
    <w:uiPriority w:val="39"/>
    <w:unhideWhenUsed/>
    <w:rsid w:val="00990103"/>
    <w:pPr>
      <w:tabs>
        <w:tab w:val="right" w:pos="9622"/>
      </w:tabs>
      <w:spacing w:before="100" w:beforeAutospacing="1"/>
    </w:pPr>
    <w:rPr>
      <w:b/>
      <w:sz w:val="28"/>
      <w:szCs w:val="22"/>
    </w:rPr>
  </w:style>
  <w:style w:type="paragraph" w:styleId="Sommario2">
    <w:name w:val="toc 2"/>
    <w:basedOn w:val="Normale"/>
    <w:next w:val="Normale"/>
    <w:autoRedefine/>
    <w:uiPriority w:val="39"/>
    <w:unhideWhenUsed/>
    <w:rsid w:val="00A40708"/>
    <w:pPr>
      <w:tabs>
        <w:tab w:val="right" w:pos="9622"/>
      </w:tabs>
      <w:spacing w:before="120"/>
      <w:ind w:left="238"/>
    </w:pPr>
    <w:rPr>
      <w:i/>
      <w:sz w:val="28"/>
      <w:szCs w:val="22"/>
    </w:rPr>
  </w:style>
  <w:style w:type="paragraph" w:styleId="Sommario3">
    <w:name w:val="toc 3"/>
    <w:basedOn w:val="Normale"/>
    <w:next w:val="Normale"/>
    <w:autoRedefine/>
    <w:uiPriority w:val="39"/>
    <w:unhideWhenUsed/>
    <w:rsid w:val="001A6F11"/>
    <w:pPr>
      <w:ind w:left="480"/>
    </w:pPr>
    <w:rPr>
      <w:szCs w:val="22"/>
    </w:rPr>
  </w:style>
  <w:style w:type="paragraph" w:styleId="Sommario4">
    <w:name w:val="toc 4"/>
    <w:basedOn w:val="Normale"/>
    <w:next w:val="Normale"/>
    <w:autoRedefine/>
    <w:uiPriority w:val="39"/>
    <w:unhideWhenUsed/>
    <w:rsid w:val="007B1991"/>
    <w:pPr>
      <w:ind w:left="720"/>
    </w:pPr>
    <w:rPr>
      <w:sz w:val="20"/>
      <w:szCs w:val="20"/>
    </w:rPr>
  </w:style>
  <w:style w:type="paragraph" w:styleId="Sommario5">
    <w:name w:val="toc 5"/>
    <w:basedOn w:val="Normale"/>
    <w:next w:val="Normale"/>
    <w:autoRedefine/>
    <w:uiPriority w:val="39"/>
    <w:unhideWhenUsed/>
    <w:rsid w:val="007B1991"/>
    <w:pPr>
      <w:ind w:left="960"/>
    </w:pPr>
    <w:rPr>
      <w:sz w:val="20"/>
      <w:szCs w:val="20"/>
    </w:rPr>
  </w:style>
  <w:style w:type="paragraph" w:styleId="Sommario6">
    <w:name w:val="toc 6"/>
    <w:basedOn w:val="Normale"/>
    <w:next w:val="Normale"/>
    <w:autoRedefine/>
    <w:uiPriority w:val="39"/>
    <w:unhideWhenUsed/>
    <w:rsid w:val="007B1991"/>
    <w:pPr>
      <w:ind w:left="1200"/>
    </w:pPr>
    <w:rPr>
      <w:sz w:val="20"/>
      <w:szCs w:val="20"/>
    </w:rPr>
  </w:style>
  <w:style w:type="paragraph" w:styleId="Sommario7">
    <w:name w:val="toc 7"/>
    <w:basedOn w:val="Normale"/>
    <w:next w:val="Normale"/>
    <w:autoRedefine/>
    <w:uiPriority w:val="39"/>
    <w:unhideWhenUsed/>
    <w:rsid w:val="007B1991"/>
    <w:pPr>
      <w:ind w:left="1440"/>
    </w:pPr>
    <w:rPr>
      <w:sz w:val="20"/>
      <w:szCs w:val="20"/>
    </w:rPr>
  </w:style>
  <w:style w:type="paragraph" w:styleId="Sommario8">
    <w:name w:val="toc 8"/>
    <w:basedOn w:val="Normale"/>
    <w:next w:val="Normale"/>
    <w:autoRedefine/>
    <w:uiPriority w:val="39"/>
    <w:unhideWhenUsed/>
    <w:rsid w:val="007B1991"/>
    <w:pPr>
      <w:ind w:left="1680"/>
    </w:pPr>
    <w:rPr>
      <w:sz w:val="20"/>
      <w:szCs w:val="20"/>
    </w:rPr>
  </w:style>
  <w:style w:type="paragraph" w:styleId="Sommario9">
    <w:name w:val="toc 9"/>
    <w:basedOn w:val="Normale"/>
    <w:next w:val="Normale"/>
    <w:autoRedefine/>
    <w:uiPriority w:val="39"/>
    <w:unhideWhenUsed/>
    <w:rsid w:val="007B1991"/>
    <w:pPr>
      <w:ind w:left="1920"/>
    </w:pPr>
    <w:rPr>
      <w:sz w:val="20"/>
      <w:szCs w:val="20"/>
    </w:rPr>
  </w:style>
  <w:style w:type="paragraph" w:styleId="Indice1">
    <w:name w:val="index 1"/>
    <w:basedOn w:val="Normale"/>
    <w:next w:val="Normale"/>
    <w:autoRedefine/>
    <w:uiPriority w:val="99"/>
    <w:unhideWhenUsed/>
    <w:rsid w:val="007B1991"/>
    <w:pPr>
      <w:ind w:left="240" w:hanging="240"/>
    </w:pPr>
  </w:style>
  <w:style w:type="paragraph" w:styleId="Indice2">
    <w:name w:val="index 2"/>
    <w:basedOn w:val="Normale"/>
    <w:next w:val="Normale"/>
    <w:autoRedefine/>
    <w:uiPriority w:val="99"/>
    <w:unhideWhenUsed/>
    <w:rsid w:val="007B1991"/>
    <w:pPr>
      <w:ind w:left="480" w:hanging="240"/>
    </w:pPr>
  </w:style>
  <w:style w:type="paragraph" w:styleId="Indice3">
    <w:name w:val="index 3"/>
    <w:basedOn w:val="Normale"/>
    <w:next w:val="Normale"/>
    <w:autoRedefine/>
    <w:uiPriority w:val="99"/>
    <w:unhideWhenUsed/>
    <w:rsid w:val="007B1991"/>
    <w:pPr>
      <w:ind w:left="720" w:hanging="240"/>
    </w:pPr>
  </w:style>
  <w:style w:type="paragraph" w:styleId="Indice4">
    <w:name w:val="index 4"/>
    <w:basedOn w:val="Normale"/>
    <w:next w:val="Normale"/>
    <w:autoRedefine/>
    <w:uiPriority w:val="99"/>
    <w:unhideWhenUsed/>
    <w:rsid w:val="007B1991"/>
    <w:pPr>
      <w:ind w:left="960" w:hanging="240"/>
    </w:pPr>
  </w:style>
  <w:style w:type="paragraph" w:styleId="Indice5">
    <w:name w:val="index 5"/>
    <w:basedOn w:val="Normale"/>
    <w:next w:val="Normale"/>
    <w:autoRedefine/>
    <w:uiPriority w:val="99"/>
    <w:unhideWhenUsed/>
    <w:rsid w:val="007B1991"/>
    <w:pPr>
      <w:ind w:left="1200" w:hanging="240"/>
    </w:pPr>
  </w:style>
  <w:style w:type="paragraph" w:styleId="Indice6">
    <w:name w:val="index 6"/>
    <w:basedOn w:val="Normale"/>
    <w:next w:val="Normale"/>
    <w:autoRedefine/>
    <w:uiPriority w:val="99"/>
    <w:unhideWhenUsed/>
    <w:rsid w:val="007B1991"/>
    <w:pPr>
      <w:ind w:left="1440" w:hanging="240"/>
    </w:pPr>
  </w:style>
  <w:style w:type="paragraph" w:styleId="Indice7">
    <w:name w:val="index 7"/>
    <w:basedOn w:val="Normale"/>
    <w:next w:val="Normale"/>
    <w:autoRedefine/>
    <w:uiPriority w:val="99"/>
    <w:unhideWhenUsed/>
    <w:rsid w:val="007B1991"/>
    <w:pPr>
      <w:ind w:left="1680" w:hanging="240"/>
    </w:pPr>
  </w:style>
  <w:style w:type="paragraph" w:styleId="Indice8">
    <w:name w:val="index 8"/>
    <w:basedOn w:val="Normale"/>
    <w:next w:val="Normale"/>
    <w:autoRedefine/>
    <w:uiPriority w:val="99"/>
    <w:unhideWhenUsed/>
    <w:rsid w:val="007B1991"/>
    <w:pPr>
      <w:ind w:left="1920" w:hanging="240"/>
    </w:pPr>
  </w:style>
  <w:style w:type="paragraph" w:styleId="Indice9">
    <w:name w:val="index 9"/>
    <w:basedOn w:val="Normale"/>
    <w:next w:val="Normale"/>
    <w:autoRedefine/>
    <w:uiPriority w:val="99"/>
    <w:unhideWhenUsed/>
    <w:rsid w:val="007B1991"/>
    <w:pPr>
      <w:ind w:left="2160" w:hanging="240"/>
    </w:pPr>
  </w:style>
  <w:style w:type="paragraph" w:styleId="Titoloindice">
    <w:name w:val="index heading"/>
    <w:basedOn w:val="Normale"/>
    <w:next w:val="Indice1"/>
    <w:uiPriority w:val="99"/>
    <w:unhideWhenUsed/>
    <w:rsid w:val="007B1991"/>
  </w:style>
  <w:style w:type="character" w:customStyle="1" w:styleId="Titolo1Carattere">
    <w:name w:val="Titolo 1 Carattere"/>
    <w:basedOn w:val="Caratterepredefinitoparagrafo"/>
    <w:link w:val="Titolo1"/>
    <w:uiPriority w:val="9"/>
    <w:rsid w:val="00630033"/>
    <w:rPr>
      <w:rFonts w:ascii="Times New Roman" w:eastAsiaTheme="majorEastAsia" w:hAnsi="Times New Roman" w:cs="Times New Roman"/>
      <w:b/>
      <w:bCs/>
      <w:sz w:val="32"/>
      <w:szCs w:val="32"/>
    </w:rPr>
  </w:style>
  <w:style w:type="paragraph" w:styleId="Titolosommario">
    <w:name w:val="TOC Heading"/>
    <w:basedOn w:val="Titolo1"/>
    <w:next w:val="Normale"/>
    <w:uiPriority w:val="39"/>
    <w:unhideWhenUsed/>
    <w:qFormat/>
    <w:rsid w:val="00E57125"/>
    <w:pPr>
      <w:spacing w:line="276" w:lineRule="auto"/>
      <w:jc w:val="center"/>
      <w:outlineLvl w:val="9"/>
    </w:pPr>
  </w:style>
  <w:style w:type="character" w:customStyle="1" w:styleId="Titolo2Carattere">
    <w:name w:val="Titolo 2 Carattere"/>
    <w:basedOn w:val="Caratterepredefinitoparagrafo"/>
    <w:link w:val="Titolo2"/>
    <w:uiPriority w:val="9"/>
    <w:rsid w:val="00630033"/>
    <w:rPr>
      <w:rFonts w:ascii="Times New Roman" w:eastAsiaTheme="majorEastAsia" w:hAnsi="Times New Roman" w:cs="Times New Roman"/>
      <w:b/>
      <w:bCs/>
      <w:sz w:val="26"/>
      <w:szCs w:val="26"/>
    </w:rPr>
  </w:style>
  <w:style w:type="character" w:customStyle="1" w:styleId="Titolo3Carattere">
    <w:name w:val="Titolo 3 Carattere"/>
    <w:basedOn w:val="Caratterepredefinitoparagrafo"/>
    <w:link w:val="Titolo3"/>
    <w:uiPriority w:val="9"/>
    <w:rsid w:val="00990103"/>
    <w:rPr>
      <w:rFonts w:ascii="Times New Roman" w:eastAsiaTheme="majorEastAsia" w:hAnsi="Times New Roman" w:cs="Times New Roman"/>
      <w:b/>
      <w:bCs/>
      <w:i/>
    </w:rPr>
  </w:style>
  <w:style w:type="character" w:styleId="Rimandocommento">
    <w:name w:val="annotation reference"/>
    <w:basedOn w:val="Caratterepredefinitoparagrafo"/>
    <w:uiPriority w:val="99"/>
    <w:semiHidden/>
    <w:unhideWhenUsed/>
    <w:rsid w:val="00C77D80"/>
    <w:rPr>
      <w:sz w:val="18"/>
      <w:szCs w:val="18"/>
    </w:rPr>
  </w:style>
  <w:style w:type="paragraph" w:styleId="Testocommento">
    <w:name w:val="annotation text"/>
    <w:basedOn w:val="Normale"/>
    <w:link w:val="TestocommentoCarattere"/>
    <w:uiPriority w:val="99"/>
    <w:semiHidden/>
    <w:unhideWhenUsed/>
    <w:rsid w:val="00C77D80"/>
  </w:style>
  <w:style w:type="character" w:customStyle="1" w:styleId="TestocommentoCarattere">
    <w:name w:val="Testo commento Carattere"/>
    <w:basedOn w:val="Caratterepredefinitoparagrafo"/>
    <w:link w:val="Testocommento"/>
    <w:uiPriority w:val="99"/>
    <w:semiHidden/>
    <w:rsid w:val="00C77D80"/>
  </w:style>
  <w:style w:type="paragraph" w:styleId="Soggettocommento">
    <w:name w:val="annotation subject"/>
    <w:basedOn w:val="Testocommento"/>
    <w:next w:val="Testocommento"/>
    <w:link w:val="SoggettocommentoCarattere"/>
    <w:uiPriority w:val="99"/>
    <w:semiHidden/>
    <w:unhideWhenUsed/>
    <w:rsid w:val="00C77D80"/>
    <w:rPr>
      <w:b/>
      <w:bCs/>
      <w:sz w:val="20"/>
      <w:szCs w:val="20"/>
    </w:rPr>
  </w:style>
  <w:style w:type="character" w:customStyle="1" w:styleId="SoggettocommentoCarattere">
    <w:name w:val="Soggetto commento Carattere"/>
    <w:basedOn w:val="TestocommentoCarattere"/>
    <w:link w:val="Soggettocommento"/>
    <w:uiPriority w:val="99"/>
    <w:semiHidden/>
    <w:rsid w:val="00C77D80"/>
    <w:rPr>
      <w:b/>
      <w:bCs/>
      <w:sz w:val="20"/>
      <w:szCs w:val="20"/>
    </w:rPr>
  </w:style>
  <w:style w:type="paragraph" w:styleId="Testonotadichiusura">
    <w:name w:val="endnote text"/>
    <w:basedOn w:val="Normale"/>
    <w:link w:val="TestonotadichiusuraCarattere"/>
    <w:uiPriority w:val="99"/>
    <w:unhideWhenUsed/>
    <w:rsid w:val="001E3885"/>
  </w:style>
  <w:style w:type="character" w:customStyle="1" w:styleId="TestonotadichiusuraCarattere">
    <w:name w:val="Testo nota di chiusura Carattere"/>
    <w:basedOn w:val="Caratterepredefinitoparagrafo"/>
    <w:link w:val="Testonotadichiusura"/>
    <w:uiPriority w:val="99"/>
    <w:rsid w:val="001E3885"/>
  </w:style>
  <w:style w:type="character" w:styleId="Rimandonotadichiusura">
    <w:name w:val="endnote reference"/>
    <w:basedOn w:val="Caratterepredefinitoparagrafo"/>
    <w:uiPriority w:val="99"/>
    <w:unhideWhenUsed/>
    <w:rsid w:val="001E3885"/>
    <w:rPr>
      <w:vertAlign w:val="superscript"/>
    </w:rPr>
  </w:style>
  <w:style w:type="character" w:styleId="Enfasidelicata">
    <w:name w:val="Subtle Emphasis"/>
    <w:aliases w:val="Nota a piè di pagina"/>
    <w:uiPriority w:val="19"/>
    <w:qFormat/>
    <w:rsid w:val="003C3476"/>
  </w:style>
  <w:style w:type="paragraph" w:customStyle="1" w:styleId="Default">
    <w:name w:val="Default"/>
    <w:rsid w:val="003632C9"/>
    <w:pPr>
      <w:widowControl w:val="0"/>
      <w:autoSpaceDE w:val="0"/>
      <w:autoSpaceDN w:val="0"/>
      <w:adjustRightInd w:val="0"/>
    </w:pPr>
    <w:rPr>
      <w:rFonts w:ascii="EUAlbertina" w:hAnsi="EUAlbertina" w:cs="EUAlbertina"/>
      <w:color w:val="000000"/>
    </w:rPr>
  </w:style>
  <w:style w:type="paragraph" w:customStyle="1" w:styleId="CM1">
    <w:name w:val="CM1"/>
    <w:basedOn w:val="Default"/>
    <w:next w:val="Default"/>
    <w:uiPriority w:val="99"/>
    <w:rsid w:val="003632C9"/>
    <w:rPr>
      <w:rFonts w:cs="Times New Roman"/>
      <w:color w:val="auto"/>
    </w:rPr>
  </w:style>
  <w:style w:type="paragraph" w:customStyle="1" w:styleId="CM3">
    <w:name w:val="CM3"/>
    <w:basedOn w:val="Default"/>
    <w:next w:val="Default"/>
    <w:uiPriority w:val="99"/>
    <w:rsid w:val="003632C9"/>
    <w:rPr>
      <w:rFonts w:cs="Times New Roman"/>
      <w:color w:val="auto"/>
    </w:rPr>
  </w:style>
  <w:style w:type="character" w:styleId="Collegamentovisitato">
    <w:name w:val="FollowedHyperlink"/>
    <w:basedOn w:val="Caratterepredefinitoparagrafo"/>
    <w:uiPriority w:val="99"/>
    <w:semiHidden/>
    <w:unhideWhenUsed/>
    <w:rsid w:val="004D3978"/>
    <w:rPr>
      <w:color w:val="800080" w:themeColor="followedHyperlink"/>
      <w:u w:val="single"/>
    </w:rPr>
  </w:style>
  <w:style w:type="paragraph" w:styleId="Revisione">
    <w:name w:val="Revision"/>
    <w:hidden/>
    <w:uiPriority w:val="99"/>
    <w:semiHidden/>
    <w:rsid w:val="00872B36"/>
    <w:rPr>
      <w:rFonts w:ascii="Times New Roman" w:hAnsi="Times New Roman"/>
    </w:rPr>
  </w:style>
  <w:style w:type="paragraph" w:styleId="Mappadocumento">
    <w:name w:val="Document Map"/>
    <w:basedOn w:val="Normale"/>
    <w:link w:val="MappadocumentoCarattere"/>
    <w:uiPriority w:val="99"/>
    <w:semiHidden/>
    <w:unhideWhenUsed/>
    <w:rsid w:val="00872B36"/>
    <w:rPr>
      <w:rFonts w:ascii="Lucida Grande" w:hAnsi="Lucida Grande" w:cs="Lucida Grande"/>
    </w:rPr>
  </w:style>
  <w:style w:type="character" w:customStyle="1" w:styleId="MappadocumentoCarattere">
    <w:name w:val="Mappa documento Carattere"/>
    <w:basedOn w:val="Caratterepredefinitoparagrafo"/>
    <w:link w:val="Mappadocumento"/>
    <w:uiPriority w:val="99"/>
    <w:semiHidden/>
    <w:rsid w:val="00872B36"/>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8914">
      <w:bodyDiv w:val="1"/>
      <w:marLeft w:val="0"/>
      <w:marRight w:val="0"/>
      <w:marTop w:val="0"/>
      <w:marBottom w:val="0"/>
      <w:divBdr>
        <w:top w:val="none" w:sz="0" w:space="0" w:color="auto"/>
        <w:left w:val="none" w:sz="0" w:space="0" w:color="auto"/>
        <w:bottom w:val="none" w:sz="0" w:space="0" w:color="auto"/>
        <w:right w:val="none" w:sz="0" w:space="0" w:color="auto"/>
      </w:divBdr>
    </w:div>
    <w:div w:id="926159741">
      <w:bodyDiv w:val="1"/>
      <w:marLeft w:val="0"/>
      <w:marRight w:val="0"/>
      <w:marTop w:val="0"/>
      <w:marBottom w:val="0"/>
      <w:divBdr>
        <w:top w:val="none" w:sz="0" w:space="0" w:color="auto"/>
        <w:left w:val="none" w:sz="0" w:space="0" w:color="auto"/>
        <w:bottom w:val="none" w:sz="0" w:space="0" w:color="auto"/>
        <w:right w:val="none" w:sz="0" w:space="0" w:color="auto"/>
      </w:divBdr>
    </w:div>
    <w:div w:id="9300466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3F762-3D3D-F34E-949E-02F875187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32</Pages>
  <Words>10561</Words>
  <Characters>60200</Characters>
  <Application>Microsoft Macintosh Word</Application>
  <DocSecurity>0</DocSecurity>
  <Lines>501</Lines>
  <Paragraphs>141</Paragraphs>
  <ScaleCrop>false</ScaleCrop>
  <Company/>
  <LinksUpToDate>false</LinksUpToDate>
  <CharactersWithSpaces>70620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FIORELLA</dc:creator>
  <cp:keywords/>
  <dc:description/>
  <cp:lastModifiedBy>Massimo Reboa</cp:lastModifiedBy>
  <cp:revision>20</cp:revision>
  <cp:lastPrinted>2014-09-03T07:43:00Z</cp:lastPrinted>
  <dcterms:created xsi:type="dcterms:W3CDTF">2014-09-03T07:55:00Z</dcterms:created>
  <dcterms:modified xsi:type="dcterms:W3CDTF">2014-09-26T07:32:00Z</dcterms:modified>
</cp:coreProperties>
</file>