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CC"/>
  <w:body>
    <w:p w14:paraId="4988CE56" w14:textId="74A08D56" w:rsidR="008F7D98" w:rsidRPr="008064B9" w:rsidRDefault="005F03F2" w:rsidP="009A319A">
      <w:pPr>
        <w:jc w:val="center"/>
        <w:rPr>
          <w:rFonts w:cs="Times New Roman"/>
          <w:b/>
          <w:sz w:val="40"/>
          <w:szCs w:val="40"/>
        </w:rPr>
      </w:pPr>
      <w:r w:rsidRPr="00AA573E">
        <w:rPr>
          <w:rFonts w:cs="Times New Roman"/>
          <w:b/>
          <w:sz w:val="40"/>
          <w:szCs w:val="40"/>
        </w:rPr>
        <w:t xml:space="preserve">Le </w:t>
      </w:r>
      <w:r w:rsidRPr="008064B9">
        <w:rPr>
          <w:rFonts w:cs="Times New Roman"/>
          <w:b/>
          <w:sz w:val="40"/>
          <w:szCs w:val="40"/>
        </w:rPr>
        <w:t>“prassi legittime” come</w:t>
      </w:r>
      <w:r w:rsidR="008F7D98" w:rsidRPr="008064B9">
        <w:rPr>
          <w:rFonts w:cs="Times New Roman"/>
          <w:b/>
          <w:sz w:val="40"/>
          <w:szCs w:val="40"/>
        </w:rPr>
        <w:t xml:space="preserve"> </w:t>
      </w:r>
      <w:r w:rsidRPr="008064B9">
        <w:rPr>
          <w:rFonts w:cs="Times New Roman"/>
          <w:b/>
          <w:sz w:val="40"/>
          <w:szCs w:val="40"/>
        </w:rPr>
        <w:t>limite</w:t>
      </w:r>
      <w:r w:rsidR="008F7D98" w:rsidRPr="008064B9">
        <w:rPr>
          <w:rFonts w:cs="Times New Roman"/>
          <w:b/>
          <w:sz w:val="40"/>
          <w:szCs w:val="40"/>
        </w:rPr>
        <w:t xml:space="preserve"> negativo del delitto di manipolazione di mercato</w:t>
      </w:r>
    </w:p>
    <w:sdt>
      <w:sdtPr>
        <w:rPr>
          <w:rFonts w:asciiTheme="minorHAnsi" w:eastAsiaTheme="minorEastAsia" w:hAnsiTheme="minorHAnsi" w:cstheme="minorBidi"/>
          <w:b w:val="0"/>
          <w:bCs w:val="0"/>
          <w:smallCaps w:val="0"/>
          <w:sz w:val="24"/>
          <w:szCs w:val="24"/>
        </w:rPr>
        <w:id w:val="1984197272"/>
        <w:docPartObj>
          <w:docPartGallery w:val="Table of Contents"/>
          <w:docPartUnique/>
        </w:docPartObj>
      </w:sdtPr>
      <w:sdtEndPr>
        <w:rPr>
          <w:rFonts w:ascii="Times New Roman" w:hAnsi="Times New Roman"/>
          <w:noProof/>
        </w:rPr>
      </w:sdtEndPr>
      <w:sdtContent>
        <w:p w14:paraId="3FD07DEE" w14:textId="68951A66" w:rsidR="001A6F11" w:rsidRPr="00503E76" w:rsidRDefault="001A6F11" w:rsidP="00C5566E">
          <w:pPr>
            <w:pStyle w:val="Titolosommario"/>
            <w:jc w:val="center"/>
          </w:pPr>
          <w:r w:rsidRPr="00503E76">
            <w:t>Sommario</w:t>
          </w:r>
        </w:p>
        <w:p w14:paraId="11576E1E" w14:textId="7E446439" w:rsidR="00E2643E" w:rsidRDefault="00AE2802" w:rsidP="00E2643E">
          <w:pPr>
            <w:pStyle w:val="Sommario1"/>
            <w:rPr>
              <w:rFonts w:asciiTheme="minorHAnsi" w:hAnsiTheme="minorHAnsi"/>
              <w:noProof/>
              <w:sz w:val="24"/>
              <w:szCs w:val="24"/>
              <w:lang w:eastAsia="ja-JP"/>
            </w:rPr>
          </w:pPr>
          <w:r>
            <w:fldChar w:fldCharType="begin"/>
          </w:r>
          <w:r>
            <w:instrText xml:space="preserve"> TOC \o "1-6" </w:instrText>
          </w:r>
          <w:r>
            <w:fldChar w:fldCharType="separate"/>
          </w:r>
          <w:r w:rsidR="00E2643E">
            <w:rPr>
              <w:noProof/>
            </w:rPr>
            <w:t>Capitolo IV</w:t>
          </w:r>
        </w:p>
        <w:p w14:paraId="622837BC" w14:textId="77777777" w:rsidR="00E2643E" w:rsidRDefault="00E2643E" w:rsidP="00E2643E">
          <w:pPr>
            <w:pStyle w:val="Sommario1"/>
            <w:rPr>
              <w:rFonts w:asciiTheme="minorHAnsi" w:hAnsiTheme="minorHAnsi"/>
              <w:noProof/>
              <w:sz w:val="24"/>
              <w:szCs w:val="24"/>
              <w:lang w:eastAsia="ja-JP"/>
            </w:rPr>
          </w:pPr>
          <w:r>
            <w:rPr>
              <w:noProof/>
            </w:rPr>
            <w:t>Il rapporto tra gli illeciti di manipolazione del mercato alla luce delle prassi legittime</w:t>
          </w:r>
          <w:r>
            <w:rPr>
              <w:noProof/>
            </w:rPr>
            <w:tab/>
          </w:r>
          <w:r>
            <w:rPr>
              <w:noProof/>
            </w:rPr>
            <w:fldChar w:fldCharType="begin"/>
          </w:r>
          <w:r>
            <w:rPr>
              <w:noProof/>
            </w:rPr>
            <w:instrText xml:space="preserve"> PAGEREF _Toc277195428 \h </w:instrText>
          </w:r>
          <w:r>
            <w:rPr>
              <w:noProof/>
            </w:rPr>
          </w:r>
          <w:r>
            <w:rPr>
              <w:noProof/>
            </w:rPr>
            <w:fldChar w:fldCharType="separate"/>
          </w:r>
          <w:r>
            <w:rPr>
              <w:noProof/>
            </w:rPr>
            <w:t>1</w:t>
          </w:r>
          <w:r>
            <w:rPr>
              <w:noProof/>
            </w:rPr>
            <w:fldChar w:fldCharType="end"/>
          </w:r>
        </w:p>
        <w:p w14:paraId="3BEF0209" w14:textId="77777777" w:rsidR="00E2643E" w:rsidRDefault="00E2643E">
          <w:pPr>
            <w:pStyle w:val="Sommario2"/>
            <w:tabs>
              <w:tab w:val="left" w:pos="1142"/>
            </w:tabs>
            <w:rPr>
              <w:rFonts w:asciiTheme="minorHAnsi" w:hAnsiTheme="minorHAnsi"/>
              <w:i w:val="0"/>
              <w:noProof/>
              <w:sz w:val="24"/>
              <w:szCs w:val="24"/>
              <w:lang w:eastAsia="ja-JP"/>
            </w:rPr>
          </w:pPr>
          <w:r>
            <w:rPr>
              <w:noProof/>
            </w:rPr>
            <w:t>1.</w:t>
          </w:r>
          <w:r>
            <w:rPr>
              <w:rFonts w:asciiTheme="minorHAnsi" w:hAnsiTheme="minorHAnsi"/>
              <w:i w:val="0"/>
              <w:noProof/>
              <w:sz w:val="24"/>
              <w:szCs w:val="24"/>
              <w:lang w:eastAsia="ja-JP"/>
            </w:rPr>
            <w:tab/>
          </w:r>
          <w:r>
            <w:rPr>
              <w:noProof/>
            </w:rPr>
            <w:t>Gli effetti delle prassi legittime sul delitto di manipolazione del mercato</w:t>
          </w:r>
          <w:r>
            <w:rPr>
              <w:noProof/>
            </w:rPr>
            <w:tab/>
          </w:r>
          <w:r>
            <w:rPr>
              <w:noProof/>
            </w:rPr>
            <w:fldChar w:fldCharType="begin"/>
          </w:r>
          <w:r>
            <w:rPr>
              <w:noProof/>
            </w:rPr>
            <w:instrText xml:space="preserve"> PAGEREF _Toc277195429 \h </w:instrText>
          </w:r>
          <w:r>
            <w:rPr>
              <w:noProof/>
            </w:rPr>
          </w:r>
          <w:r>
            <w:rPr>
              <w:noProof/>
            </w:rPr>
            <w:fldChar w:fldCharType="separate"/>
          </w:r>
          <w:r>
            <w:rPr>
              <w:noProof/>
            </w:rPr>
            <w:t>1</w:t>
          </w:r>
          <w:r>
            <w:rPr>
              <w:noProof/>
            </w:rPr>
            <w:fldChar w:fldCharType="end"/>
          </w:r>
        </w:p>
        <w:p w14:paraId="5B2DEBD5" w14:textId="77777777" w:rsidR="00E2643E" w:rsidRDefault="00E2643E">
          <w:pPr>
            <w:pStyle w:val="Sommario2"/>
            <w:tabs>
              <w:tab w:val="left" w:pos="1142"/>
            </w:tabs>
            <w:rPr>
              <w:rFonts w:asciiTheme="minorHAnsi" w:hAnsiTheme="minorHAnsi"/>
              <w:i w:val="0"/>
              <w:noProof/>
              <w:sz w:val="24"/>
              <w:szCs w:val="24"/>
              <w:lang w:eastAsia="ja-JP"/>
            </w:rPr>
          </w:pPr>
          <w:r>
            <w:rPr>
              <w:noProof/>
            </w:rPr>
            <w:t>2.</w:t>
          </w:r>
          <w:r>
            <w:rPr>
              <w:rFonts w:asciiTheme="minorHAnsi" w:hAnsiTheme="minorHAnsi"/>
              <w:i w:val="0"/>
              <w:noProof/>
              <w:sz w:val="24"/>
              <w:szCs w:val="24"/>
              <w:lang w:eastAsia="ja-JP"/>
            </w:rPr>
            <w:tab/>
          </w:r>
          <w:r>
            <w:rPr>
              <w:noProof/>
            </w:rPr>
            <w:t>La previsione di un “doppio binario” sanzionatorio</w:t>
          </w:r>
          <w:r>
            <w:rPr>
              <w:noProof/>
            </w:rPr>
            <w:tab/>
          </w:r>
          <w:r>
            <w:rPr>
              <w:noProof/>
            </w:rPr>
            <w:fldChar w:fldCharType="begin"/>
          </w:r>
          <w:r>
            <w:rPr>
              <w:noProof/>
            </w:rPr>
            <w:instrText xml:space="preserve"> PAGEREF _Toc277195430 \h </w:instrText>
          </w:r>
          <w:r>
            <w:rPr>
              <w:noProof/>
            </w:rPr>
          </w:r>
          <w:r>
            <w:rPr>
              <w:noProof/>
            </w:rPr>
            <w:fldChar w:fldCharType="separate"/>
          </w:r>
          <w:r>
            <w:rPr>
              <w:noProof/>
            </w:rPr>
            <w:t>6</w:t>
          </w:r>
          <w:r>
            <w:rPr>
              <w:noProof/>
            </w:rPr>
            <w:fldChar w:fldCharType="end"/>
          </w:r>
        </w:p>
        <w:p w14:paraId="0BBD3F0C" w14:textId="77777777" w:rsidR="00E2643E" w:rsidRDefault="00E2643E">
          <w:pPr>
            <w:pStyle w:val="Sommario2"/>
            <w:tabs>
              <w:tab w:val="left" w:pos="1142"/>
            </w:tabs>
            <w:rPr>
              <w:rFonts w:asciiTheme="minorHAnsi" w:hAnsiTheme="minorHAnsi"/>
              <w:i w:val="0"/>
              <w:noProof/>
              <w:sz w:val="24"/>
              <w:szCs w:val="24"/>
              <w:lang w:eastAsia="ja-JP"/>
            </w:rPr>
          </w:pPr>
          <w:r>
            <w:rPr>
              <w:noProof/>
            </w:rPr>
            <w:t>3.</w:t>
          </w:r>
          <w:r>
            <w:rPr>
              <w:rFonts w:asciiTheme="minorHAnsi" w:hAnsiTheme="minorHAnsi"/>
              <w:i w:val="0"/>
              <w:noProof/>
              <w:sz w:val="24"/>
              <w:szCs w:val="24"/>
              <w:lang w:eastAsia="ja-JP"/>
            </w:rPr>
            <w:tab/>
          </w:r>
          <w:r>
            <w:rPr>
              <w:noProof/>
            </w:rPr>
            <w:t>Il doppio binario al vaglio della Corte EDU. Il caso Grande Stevens</w:t>
          </w:r>
          <w:r>
            <w:rPr>
              <w:noProof/>
            </w:rPr>
            <w:tab/>
          </w:r>
          <w:r>
            <w:rPr>
              <w:noProof/>
            </w:rPr>
            <w:fldChar w:fldCharType="begin"/>
          </w:r>
          <w:r>
            <w:rPr>
              <w:noProof/>
            </w:rPr>
            <w:instrText xml:space="preserve"> PAGEREF _Toc277195431 \h </w:instrText>
          </w:r>
          <w:r>
            <w:rPr>
              <w:noProof/>
            </w:rPr>
          </w:r>
          <w:r>
            <w:rPr>
              <w:noProof/>
            </w:rPr>
            <w:fldChar w:fldCharType="separate"/>
          </w:r>
          <w:r>
            <w:rPr>
              <w:noProof/>
            </w:rPr>
            <w:t>12</w:t>
          </w:r>
          <w:r>
            <w:rPr>
              <w:noProof/>
            </w:rPr>
            <w:fldChar w:fldCharType="end"/>
          </w:r>
        </w:p>
        <w:p w14:paraId="76285BB7" w14:textId="77777777" w:rsidR="00E2643E" w:rsidRDefault="00E2643E">
          <w:pPr>
            <w:pStyle w:val="Sommario2"/>
            <w:tabs>
              <w:tab w:val="left" w:pos="1142"/>
            </w:tabs>
            <w:rPr>
              <w:rFonts w:asciiTheme="minorHAnsi" w:hAnsiTheme="minorHAnsi"/>
              <w:i w:val="0"/>
              <w:noProof/>
              <w:sz w:val="24"/>
              <w:szCs w:val="24"/>
              <w:lang w:eastAsia="ja-JP"/>
            </w:rPr>
          </w:pPr>
          <w:r>
            <w:rPr>
              <w:noProof/>
            </w:rPr>
            <w:t>4.</w:t>
          </w:r>
          <w:r>
            <w:rPr>
              <w:rFonts w:asciiTheme="minorHAnsi" w:hAnsiTheme="minorHAnsi"/>
              <w:i w:val="0"/>
              <w:noProof/>
              <w:sz w:val="24"/>
              <w:szCs w:val="24"/>
              <w:lang w:eastAsia="ja-JP"/>
            </w:rPr>
            <w:tab/>
          </w:r>
          <w:r>
            <w:rPr>
              <w:noProof/>
            </w:rPr>
            <w:t xml:space="preserve">Le conseguenze del </w:t>
          </w:r>
          <w:r w:rsidRPr="00E91517">
            <w:rPr>
              <w:noProof/>
            </w:rPr>
            <w:t>ne bis in idem</w:t>
          </w:r>
          <w:r>
            <w:rPr>
              <w:noProof/>
            </w:rPr>
            <w:t xml:space="preserve"> sugli illeciti di manipolazione del mercato</w:t>
          </w:r>
          <w:r>
            <w:rPr>
              <w:noProof/>
            </w:rPr>
            <w:tab/>
          </w:r>
          <w:r>
            <w:rPr>
              <w:noProof/>
            </w:rPr>
            <w:fldChar w:fldCharType="begin"/>
          </w:r>
          <w:r>
            <w:rPr>
              <w:noProof/>
            </w:rPr>
            <w:instrText xml:space="preserve"> PAGEREF _Toc277195432 \h </w:instrText>
          </w:r>
          <w:r>
            <w:rPr>
              <w:noProof/>
            </w:rPr>
          </w:r>
          <w:r>
            <w:rPr>
              <w:noProof/>
            </w:rPr>
            <w:fldChar w:fldCharType="separate"/>
          </w:r>
          <w:r>
            <w:rPr>
              <w:noProof/>
            </w:rPr>
            <w:t>17</w:t>
          </w:r>
          <w:r>
            <w:rPr>
              <w:noProof/>
            </w:rPr>
            <w:fldChar w:fldCharType="end"/>
          </w:r>
        </w:p>
        <w:p w14:paraId="055369B4" w14:textId="77777777" w:rsidR="00E2643E" w:rsidRDefault="00E2643E">
          <w:pPr>
            <w:pStyle w:val="Sommario2"/>
            <w:tabs>
              <w:tab w:val="left" w:pos="1142"/>
            </w:tabs>
            <w:rPr>
              <w:rFonts w:asciiTheme="minorHAnsi" w:hAnsiTheme="minorHAnsi"/>
              <w:i w:val="0"/>
              <w:noProof/>
              <w:sz w:val="24"/>
              <w:szCs w:val="24"/>
              <w:lang w:eastAsia="ja-JP"/>
            </w:rPr>
          </w:pPr>
          <w:r>
            <w:rPr>
              <w:noProof/>
            </w:rPr>
            <w:t>5.</w:t>
          </w:r>
          <w:r>
            <w:rPr>
              <w:rFonts w:asciiTheme="minorHAnsi" w:hAnsiTheme="minorHAnsi"/>
              <w:i w:val="0"/>
              <w:noProof/>
              <w:sz w:val="24"/>
              <w:szCs w:val="24"/>
              <w:lang w:eastAsia="ja-JP"/>
            </w:rPr>
            <w:tab/>
          </w:r>
          <w:r>
            <w:rPr>
              <w:noProof/>
            </w:rPr>
            <w:t>Il rapporto tra illeciti alla luce del principio del ne bis in idem</w:t>
          </w:r>
          <w:r>
            <w:rPr>
              <w:noProof/>
            </w:rPr>
            <w:tab/>
          </w:r>
          <w:r>
            <w:rPr>
              <w:noProof/>
            </w:rPr>
            <w:fldChar w:fldCharType="begin"/>
          </w:r>
          <w:r>
            <w:rPr>
              <w:noProof/>
            </w:rPr>
            <w:instrText xml:space="preserve"> PAGEREF _Toc277195433 \h </w:instrText>
          </w:r>
          <w:r>
            <w:rPr>
              <w:noProof/>
            </w:rPr>
          </w:r>
          <w:r>
            <w:rPr>
              <w:noProof/>
            </w:rPr>
            <w:fldChar w:fldCharType="separate"/>
          </w:r>
          <w:r>
            <w:rPr>
              <w:noProof/>
            </w:rPr>
            <w:t>21</w:t>
          </w:r>
          <w:r>
            <w:rPr>
              <w:noProof/>
            </w:rPr>
            <w:fldChar w:fldCharType="end"/>
          </w:r>
        </w:p>
        <w:p w14:paraId="6C0AD95B" w14:textId="77777777" w:rsidR="00E2643E" w:rsidRDefault="00E2643E">
          <w:pPr>
            <w:pStyle w:val="Sommario2"/>
            <w:tabs>
              <w:tab w:val="left" w:pos="1142"/>
            </w:tabs>
            <w:rPr>
              <w:rFonts w:asciiTheme="minorHAnsi" w:hAnsiTheme="minorHAnsi"/>
              <w:i w:val="0"/>
              <w:noProof/>
              <w:sz w:val="24"/>
              <w:szCs w:val="24"/>
              <w:lang w:eastAsia="ja-JP"/>
            </w:rPr>
          </w:pPr>
          <w:r>
            <w:rPr>
              <w:noProof/>
            </w:rPr>
            <w:t>6.</w:t>
          </w:r>
          <w:r>
            <w:rPr>
              <w:rFonts w:asciiTheme="minorHAnsi" w:hAnsiTheme="minorHAnsi"/>
              <w:i w:val="0"/>
              <w:noProof/>
              <w:sz w:val="24"/>
              <w:szCs w:val="24"/>
              <w:lang w:eastAsia="ja-JP"/>
            </w:rPr>
            <w:tab/>
          </w:r>
          <w:r>
            <w:rPr>
              <w:noProof/>
            </w:rPr>
            <w:t>La violazione dei principi del giusto processo nell’accertamento dell’illecito amministrativo</w:t>
          </w:r>
          <w:r>
            <w:rPr>
              <w:noProof/>
            </w:rPr>
            <w:tab/>
          </w:r>
          <w:r>
            <w:rPr>
              <w:noProof/>
            </w:rPr>
            <w:fldChar w:fldCharType="begin"/>
          </w:r>
          <w:r>
            <w:rPr>
              <w:noProof/>
            </w:rPr>
            <w:instrText xml:space="preserve"> PAGEREF _Toc277195434 \h </w:instrText>
          </w:r>
          <w:r>
            <w:rPr>
              <w:noProof/>
            </w:rPr>
          </w:r>
          <w:r>
            <w:rPr>
              <w:noProof/>
            </w:rPr>
            <w:fldChar w:fldCharType="separate"/>
          </w:r>
          <w:r>
            <w:rPr>
              <w:noProof/>
            </w:rPr>
            <w:t>26</w:t>
          </w:r>
          <w:r>
            <w:rPr>
              <w:noProof/>
            </w:rPr>
            <w:fldChar w:fldCharType="end"/>
          </w:r>
        </w:p>
        <w:p w14:paraId="77417662" w14:textId="77777777" w:rsidR="00E2643E" w:rsidRDefault="00E2643E" w:rsidP="001B58D2">
          <w:pPr>
            <w:pStyle w:val="Sommario1"/>
            <w:ind w:firstLine="454"/>
            <w:rPr>
              <w:rFonts w:asciiTheme="minorHAnsi" w:hAnsiTheme="minorHAnsi"/>
              <w:noProof/>
              <w:sz w:val="24"/>
              <w:szCs w:val="24"/>
              <w:lang w:eastAsia="ja-JP"/>
            </w:rPr>
          </w:pPr>
          <w:r>
            <w:rPr>
              <w:noProof/>
            </w:rPr>
            <w:t>Conclusioni</w:t>
          </w:r>
          <w:r>
            <w:rPr>
              <w:noProof/>
            </w:rPr>
            <w:tab/>
          </w:r>
          <w:r>
            <w:rPr>
              <w:noProof/>
            </w:rPr>
            <w:fldChar w:fldCharType="begin"/>
          </w:r>
          <w:r>
            <w:rPr>
              <w:noProof/>
            </w:rPr>
            <w:instrText xml:space="preserve"> PAGEREF _Toc277195435 \h </w:instrText>
          </w:r>
          <w:r>
            <w:rPr>
              <w:noProof/>
            </w:rPr>
          </w:r>
          <w:r>
            <w:rPr>
              <w:noProof/>
            </w:rPr>
            <w:fldChar w:fldCharType="separate"/>
          </w:r>
          <w:r>
            <w:rPr>
              <w:noProof/>
            </w:rPr>
            <w:t>32</w:t>
          </w:r>
          <w:r>
            <w:rPr>
              <w:noProof/>
            </w:rPr>
            <w:fldChar w:fldCharType="end"/>
          </w:r>
        </w:p>
        <w:p w14:paraId="2106AEB8" w14:textId="7DC331EF" w:rsidR="00600F45" w:rsidRPr="003523BD" w:rsidRDefault="00AE2802" w:rsidP="009A319A">
          <w:r>
            <w:rPr>
              <w:rFonts w:eastAsiaTheme="majorEastAsia" w:cs="Times New Roman"/>
              <w:b/>
              <w:bCs/>
              <w:i/>
              <w:sz w:val="28"/>
              <w:szCs w:val="22"/>
            </w:rPr>
            <w:fldChar w:fldCharType="end"/>
          </w:r>
        </w:p>
      </w:sdtContent>
    </w:sdt>
    <w:p w14:paraId="386508AF" w14:textId="77777777" w:rsidR="0016799C" w:rsidRPr="009F5292" w:rsidRDefault="0016799C" w:rsidP="009A319A">
      <w:pPr>
        <w:rPr>
          <w:rFonts w:cs="Times New Roman"/>
        </w:rPr>
        <w:sectPr w:rsidR="0016799C" w:rsidRPr="009F5292" w:rsidSect="009F2217">
          <w:footerReference w:type="even" r:id="rId9"/>
          <w:footerReference w:type="default" r:id="rId10"/>
          <w:endnotePr>
            <w:numFmt w:val="decimal"/>
          </w:endnotePr>
          <w:pgSz w:w="11900" w:h="16840"/>
          <w:pgMar w:top="1417" w:right="1134" w:bottom="1134" w:left="1134" w:header="708" w:footer="708" w:gutter="0"/>
          <w:pgNumType w:fmt="upperRoman" w:start="1"/>
          <w:cols w:space="708"/>
        </w:sectPr>
      </w:pPr>
    </w:p>
    <w:p w14:paraId="18760DCA" w14:textId="0F38208C" w:rsidR="00E84540" w:rsidRDefault="00E84540" w:rsidP="00BA5362">
      <w:pPr>
        <w:pStyle w:val="Titolo1"/>
        <w:jc w:val="center"/>
      </w:pPr>
      <w:bookmarkStart w:id="0" w:name="_Toc273257228"/>
      <w:bookmarkStart w:id="1" w:name="_Toc277148699"/>
      <w:bookmarkStart w:id="2" w:name="_Toc277195427"/>
      <w:r>
        <w:lastRenderedPageBreak/>
        <w:t>C</w:t>
      </w:r>
      <w:bookmarkEnd w:id="0"/>
      <w:bookmarkEnd w:id="1"/>
      <w:r w:rsidR="009125BC">
        <w:t>apitolo IV</w:t>
      </w:r>
      <w:bookmarkEnd w:id="2"/>
    </w:p>
    <w:p w14:paraId="3B379531" w14:textId="0B7AB5B5" w:rsidR="00C61EC1" w:rsidRDefault="00DC305F" w:rsidP="00494B1C">
      <w:pPr>
        <w:pStyle w:val="Titolo1"/>
        <w:spacing w:after="100" w:afterAutospacing="1" w:line="276" w:lineRule="auto"/>
      </w:pPr>
      <w:bookmarkStart w:id="3" w:name="_Toc277195428"/>
      <w:r>
        <w:t>Il rapporto tra</w:t>
      </w:r>
      <w:r w:rsidR="003C0DD6">
        <w:t xml:space="preserve"> gli</w:t>
      </w:r>
      <w:r>
        <w:t xml:space="preserve"> illeciti</w:t>
      </w:r>
      <w:r w:rsidR="00063895">
        <w:t xml:space="preserve"> di manipolazione del mercato</w:t>
      </w:r>
      <w:r>
        <w:t xml:space="preserve"> alla luce delle</w:t>
      </w:r>
      <w:r w:rsidR="000428FF">
        <w:t xml:space="preserve"> prassi legittime</w:t>
      </w:r>
      <w:bookmarkEnd w:id="3"/>
    </w:p>
    <w:p w14:paraId="26B81946" w14:textId="6ECC74CB" w:rsidR="000168DD" w:rsidRDefault="007053FF" w:rsidP="003A63CD">
      <w:pPr>
        <w:pStyle w:val="Titolo2"/>
        <w:numPr>
          <w:ilvl w:val="1"/>
          <w:numId w:val="45"/>
        </w:numPr>
      </w:pPr>
      <w:bookmarkStart w:id="4" w:name="_Toc277195429"/>
      <w:r>
        <w:t>Gli effetti dell</w:t>
      </w:r>
      <w:r w:rsidR="00D30714">
        <w:t>e</w:t>
      </w:r>
      <w:r>
        <w:t xml:space="preserve"> prassi</w:t>
      </w:r>
      <w:r w:rsidR="00D30714">
        <w:t xml:space="preserve"> legittime</w:t>
      </w:r>
      <w:r>
        <w:t xml:space="preserve"> </w:t>
      </w:r>
      <w:r w:rsidR="00D30714">
        <w:t>sul delitto di manipolazione del mercato</w:t>
      </w:r>
      <w:bookmarkEnd w:id="4"/>
    </w:p>
    <w:p w14:paraId="0C69EFD1" w14:textId="200A24E1" w:rsidR="00185585" w:rsidRDefault="00185585" w:rsidP="003A63CD">
      <w:pPr>
        <w:spacing w:after="100" w:afterAutospacing="1" w:line="276" w:lineRule="auto"/>
        <w:rPr>
          <w:rFonts w:cs="Times New Roman"/>
        </w:rPr>
      </w:pPr>
      <w:r>
        <w:rPr>
          <w:rFonts w:cs="Times New Roman"/>
        </w:rPr>
        <w:t xml:space="preserve">Nel precedente capitolo si è accennato come non vi sia questione sugli effetti </w:t>
      </w:r>
      <w:r w:rsidR="00AB721E">
        <w:rPr>
          <w:rFonts w:cs="Times New Roman"/>
        </w:rPr>
        <w:t>fac</w:t>
      </w:r>
      <w:r w:rsidR="00217FD8">
        <w:rPr>
          <w:rFonts w:cs="Times New Roman"/>
        </w:rPr>
        <w:t>u</w:t>
      </w:r>
      <w:r w:rsidR="00AB721E">
        <w:rPr>
          <w:rFonts w:cs="Times New Roman"/>
        </w:rPr>
        <w:t xml:space="preserve">ltizzanti </w:t>
      </w:r>
      <w:r>
        <w:rPr>
          <w:rFonts w:cs="Times New Roman"/>
        </w:rPr>
        <w:t>della prassi legittima</w:t>
      </w:r>
      <w:r w:rsidR="00AB721E">
        <w:rPr>
          <w:rFonts w:cs="Times New Roman"/>
        </w:rPr>
        <w:t>,</w:t>
      </w:r>
      <w:r>
        <w:rPr>
          <w:rFonts w:cs="Times New Roman"/>
        </w:rPr>
        <w:t xml:space="preserve"> </w:t>
      </w:r>
      <w:r w:rsidR="00AB721E">
        <w:rPr>
          <w:rFonts w:cs="Times New Roman"/>
        </w:rPr>
        <w:t>almeno</w:t>
      </w:r>
      <w:r>
        <w:rPr>
          <w:rFonts w:cs="Times New Roman"/>
        </w:rPr>
        <w:t xml:space="preserve"> </w:t>
      </w:r>
      <w:r w:rsidR="00AB721E">
        <w:rPr>
          <w:rFonts w:cs="Times New Roman"/>
        </w:rPr>
        <w:t>se in essa si riconosca una</w:t>
      </w:r>
      <w:r>
        <w:rPr>
          <w:rFonts w:cs="Times New Roman"/>
        </w:rPr>
        <w:t xml:space="preserve"> causa di giustificazione</w:t>
      </w:r>
      <w:r w:rsidR="00AB721E">
        <w:rPr>
          <w:rFonts w:cs="Times New Roman"/>
        </w:rPr>
        <w:t>, nel senso di escludere l’illiceità penale</w:t>
      </w:r>
      <w:r>
        <w:rPr>
          <w:rFonts w:cs="Times New Roman"/>
        </w:rPr>
        <w:t xml:space="preserve">. Unanimemente si sostiene che, qualora </w:t>
      </w:r>
      <w:r w:rsidR="00AB721E">
        <w:rPr>
          <w:rFonts w:cs="Times New Roman"/>
        </w:rPr>
        <w:t>manchi</w:t>
      </w:r>
      <w:r>
        <w:rPr>
          <w:rFonts w:cs="Times New Roman"/>
        </w:rPr>
        <w:t xml:space="preserve"> l’antigiuridicità, il fatto s</w:t>
      </w:r>
      <w:r w:rsidR="00AB721E">
        <w:rPr>
          <w:rFonts w:cs="Times New Roman"/>
        </w:rPr>
        <w:t>ia</w:t>
      </w:r>
      <w:r>
        <w:rPr>
          <w:rFonts w:cs="Times New Roman"/>
        </w:rPr>
        <w:t xml:space="preserve"> giustificato </w:t>
      </w:r>
      <w:r w:rsidRPr="000428FF">
        <w:rPr>
          <w:rFonts w:cs="Times New Roman"/>
          <w:i/>
        </w:rPr>
        <w:t>«in ogni quadrante dell’ordinamento, quello penale compreso»</w:t>
      </w:r>
      <w:r w:rsidR="000428FF">
        <w:rPr>
          <w:rStyle w:val="Rimandonotaapidipagina"/>
          <w:rFonts w:cs="Times New Roman"/>
        </w:rPr>
        <w:footnoteReference w:id="1"/>
      </w:r>
      <w:r>
        <w:rPr>
          <w:rFonts w:cs="Times New Roman"/>
        </w:rPr>
        <w:t>.</w:t>
      </w:r>
    </w:p>
    <w:p w14:paraId="516CCC85" w14:textId="484FD201" w:rsidR="00185585" w:rsidRPr="009B4D7F" w:rsidRDefault="007D44AC" w:rsidP="003A63CD">
      <w:pPr>
        <w:spacing w:after="100" w:afterAutospacing="1" w:line="276" w:lineRule="auto"/>
        <w:rPr>
          <w:rFonts w:cs="Times New Roman"/>
        </w:rPr>
      </w:pPr>
      <w:r>
        <w:rPr>
          <w:rFonts w:cs="Times New Roman"/>
        </w:rPr>
        <w:t>Nel</w:t>
      </w:r>
      <w:r w:rsidR="00AB721E">
        <w:rPr>
          <w:rFonts w:cs="Times New Roman"/>
        </w:rPr>
        <w:t xml:space="preserve"> difetto</w:t>
      </w:r>
      <w:r w:rsidR="00185585">
        <w:rPr>
          <w:rFonts w:cs="Times New Roman"/>
        </w:rPr>
        <w:t xml:space="preserve"> </w:t>
      </w:r>
      <w:r w:rsidR="00AB721E">
        <w:rPr>
          <w:rFonts w:cs="Times New Roman"/>
        </w:rPr>
        <w:t>del</w:t>
      </w:r>
      <w:r w:rsidR="00185585">
        <w:rPr>
          <w:rFonts w:cs="Times New Roman"/>
        </w:rPr>
        <w:t>l’antigiuridicità,</w:t>
      </w:r>
      <w:r w:rsidR="00AB721E">
        <w:rPr>
          <w:rFonts w:cs="Times New Roman"/>
        </w:rPr>
        <w:t xml:space="preserve"> d’altra parte, verrebbe meno il fondamento di</w:t>
      </w:r>
      <w:r w:rsidR="00185585">
        <w:rPr>
          <w:rFonts w:cs="Times New Roman"/>
        </w:rPr>
        <w:t xml:space="preserve"> </w:t>
      </w:r>
      <w:r w:rsidR="00AB721E">
        <w:rPr>
          <w:rFonts w:cs="Times New Roman"/>
        </w:rPr>
        <w:t>potenziali</w:t>
      </w:r>
      <w:r w:rsidR="00185585">
        <w:rPr>
          <w:rFonts w:cs="Times New Roman"/>
        </w:rPr>
        <w:t xml:space="preserve"> </w:t>
      </w:r>
      <w:r w:rsidR="008067F7">
        <w:rPr>
          <w:rFonts w:cs="Times New Roman"/>
        </w:rPr>
        <w:t>rivendicazioni</w:t>
      </w:r>
      <w:r w:rsidR="00185585">
        <w:rPr>
          <w:rFonts w:cs="Times New Roman"/>
        </w:rPr>
        <w:t xml:space="preserve"> giuridiche </w:t>
      </w:r>
      <w:r w:rsidR="001C7C04">
        <w:rPr>
          <w:rFonts w:cs="Times New Roman"/>
        </w:rPr>
        <w:t>di</w:t>
      </w:r>
      <w:r w:rsidR="00185585">
        <w:rPr>
          <w:rFonts w:cs="Times New Roman"/>
        </w:rPr>
        <w:t xml:space="preserve"> terzi che discendano dal </w:t>
      </w:r>
      <w:r w:rsidR="00AB721E">
        <w:rPr>
          <w:rFonts w:cs="Times New Roman"/>
        </w:rPr>
        <w:t xml:space="preserve">preteso </w:t>
      </w:r>
      <w:r w:rsidR="00185585">
        <w:rPr>
          <w:rFonts w:cs="Times New Roman"/>
        </w:rPr>
        <w:t xml:space="preserve">contrasto </w:t>
      </w:r>
      <w:r w:rsidR="00AB721E">
        <w:rPr>
          <w:rFonts w:cs="Times New Roman"/>
        </w:rPr>
        <w:t xml:space="preserve">tra un certo contegno e </w:t>
      </w:r>
      <w:r w:rsidR="00185585">
        <w:rPr>
          <w:rFonts w:cs="Times New Roman"/>
        </w:rPr>
        <w:t xml:space="preserve">il </w:t>
      </w:r>
      <w:r w:rsidR="00AB721E">
        <w:rPr>
          <w:rFonts w:cs="Times New Roman"/>
        </w:rPr>
        <w:t>“</w:t>
      </w:r>
      <w:r w:rsidR="00185585">
        <w:rPr>
          <w:rFonts w:cs="Times New Roman"/>
        </w:rPr>
        <w:t>diritto</w:t>
      </w:r>
      <w:r w:rsidR="00AB721E">
        <w:rPr>
          <w:rFonts w:cs="Times New Roman"/>
        </w:rPr>
        <w:t>” obiettivamente inteso</w:t>
      </w:r>
      <w:r w:rsidR="00185585">
        <w:rPr>
          <w:rFonts w:cs="Times New Roman"/>
        </w:rPr>
        <w:t>.</w:t>
      </w:r>
      <w:r w:rsidR="00B77E5C">
        <w:rPr>
          <w:rFonts w:cs="Times New Roman"/>
        </w:rPr>
        <w:t xml:space="preserve"> </w:t>
      </w:r>
      <w:r w:rsidR="00AB721E">
        <w:rPr>
          <w:rFonts w:cs="Times New Roman"/>
        </w:rPr>
        <w:t>Ed ancora: o</w:t>
      </w:r>
      <w:r w:rsidR="00082378">
        <w:rPr>
          <w:rFonts w:cs="Times New Roman"/>
        </w:rPr>
        <w:t>ltre all’esclusione delle pene accessorie, della confisca e della responsa</w:t>
      </w:r>
      <w:r w:rsidR="00082378" w:rsidRPr="009B4D7F">
        <w:rPr>
          <w:rFonts w:cs="Times New Roman"/>
        </w:rPr>
        <w:t xml:space="preserve">bilità dell’ente </w:t>
      </w:r>
      <w:r w:rsidR="00082378" w:rsidRPr="009B4D7F">
        <w:rPr>
          <w:rFonts w:cs="Times New Roman"/>
          <w:i/>
        </w:rPr>
        <w:t>ex</w:t>
      </w:r>
      <w:r w:rsidR="00082378" w:rsidRPr="009B4D7F">
        <w:rPr>
          <w:rFonts w:cs="Times New Roman"/>
        </w:rPr>
        <w:t xml:space="preserve"> d.lgs. 231 del 2001, </w:t>
      </w:r>
      <w:r w:rsidR="001C7C04">
        <w:rPr>
          <w:rFonts w:cs="Times New Roman"/>
        </w:rPr>
        <w:t xml:space="preserve">l’assenza di antigiuridicità </w:t>
      </w:r>
      <w:r w:rsidR="00AB721E">
        <w:rPr>
          <w:rFonts w:cs="Times New Roman"/>
        </w:rPr>
        <w:t>osterebbe al</w:t>
      </w:r>
      <w:r w:rsidR="001C7C04">
        <w:rPr>
          <w:rFonts w:cs="Times New Roman"/>
        </w:rPr>
        <w:t xml:space="preserve">la possibilità </w:t>
      </w:r>
      <w:r w:rsidR="00AB721E">
        <w:rPr>
          <w:rFonts w:cs="Times New Roman"/>
        </w:rPr>
        <w:t xml:space="preserve">della CONSOB </w:t>
      </w:r>
      <w:r w:rsidR="001C7C04">
        <w:rPr>
          <w:rFonts w:cs="Times New Roman"/>
        </w:rPr>
        <w:t>di pretendere</w:t>
      </w:r>
      <w:r w:rsidR="00B77E5C" w:rsidRPr="009B4D7F">
        <w:rPr>
          <w:rFonts w:cs="Times New Roman"/>
        </w:rPr>
        <w:t xml:space="preserve"> </w:t>
      </w:r>
      <w:r w:rsidR="00AB721E">
        <w:rPr>
          <w:rFonts w:cs="Times New Roman"/>
        </w:rPr>
        <w:t>tramite la costituzione di parte civile</w:t>
      </w:r>
      <w:r w:rsidR="00AB721E" w:rsidRPr="009B4D7F">
        <w:rPr>
          <w:rFonts w:cs="Times New Roman"/>
        </w:rPr>
        <w:t xml:space="preserve"> </w:t>
      </w:r>
      <w:r w:rsidR="00082378" w:rsidRPr="009B4D7F">
        <w:rPr>
          <w:rFonts w:cs="Times New Roman"/>
        </w:rPr>
        <w:t xml:space="preserve">il risarcimento dei danni </w:t>
      </w:r>
      <w:r w:rsidR="00AB721E">
        <w:rPr>
          <w:rFonts w:cs="Times New Roman"/>
        </w:rPr>
        <w:t>asseritamente patiti d</w:t>
      </w:r>
      <w:r w:rsidR="000428FF" w:rsidRPr="009B4D7F">
        <w:rPr>
          <w:rFonts w:cs="Times New Roman"/>
        </w:rPr>
        <w:t xml:space="preserve">all’integrità del mercato. Altresì è esclusa l’ingiustizia del danno che la prassi legittima </w:t>
      </w:r>
      <w:r w:rsidR="003E66EC">
        <w:rPr>
          <w:rFonts w:cs="Times New Roman"/>
        </w:rPr>
        <w:t xml:space="preserve">possa </w:t>
      </w:r>
      <w:r w:rsidR="001C7C04">
        <w:rPr>
          <w:rFonts w:cs="Times New Roman"/>
        </w:rPr>
        <w:t>aver</w:t>
      </w:r>
      <w:r w:rsidR="000428FF" w:rsidRPr="009B4D7F">
        <w:rPr>
          <w:rFonts w:cs="Times New Roman"/>
        </w:rPr>
        <w:t xml:space="preserve"> </w:t>
      </w:r>
      <w:r w:rsidR="003E66EC">
        <w:rPr>
          <w:rFonts w:cs="Times New Roman"/>
        </w:rPr>
        <w:t>causato</w:t>
      </w:r>
      <w:r w:rsidR="000428FF" w:rsidRPr="009B4D7F">
        <w:rPr>
          <w:rFonts w:cs="Times New Roman"/>
        </w:rPr>
        <w:t xml:space="preserve"> agli investitori.</w:t>
      </w:r>
    </w:p>
    <w:p w14:paraId="2C988774" w14:textId="3275F1D2" w:rsidR="00185585" w:rsidRPr="009B4D7F" w:rsidRDefault="000428FF" w:rsidP="003A63CD">
      <w:pPr>
        <w:spacing w:after="100" w:afterAutospacing="1" w:line="276" w:lineRule="auto"/>
        <w:rPr>
          <w:rFonts w:cs="Times New Roman"/>
        </w:rPr>
      </w:pPr>
      <w:r w:rsidRPr="009B4D7F">
        <w:rPr>
          <w:rFonts w:cs="Times New Roman"/>
        </w:rPr>
        <w:t>In altre parole, la configurazione delle prassi legittime come causa di giustificazione rende pienamente lecita la condotta ed esclude qualsiasi sanzione con riferimento a</w:t>
      </w:r>
      <w:r w:rsidR="00F15F6A">
        <w:rPr>
          <w:rFonts w:cs="Times New Roman"/>
        </w:rPr>
        <w:t>gli eventi connessi</w:t>
      </w:r>
      <w:r w:rsidRPr="009B4D7F">
        <w:rPr>
          <w:rFonts w:cs="Times New Roman"/>
        </w:rPr>
        <w:t>.</w:t>
      </w:r>
    </w:p>
    <w:p w14:paraId="4E638A58" w14:textId="4460F713" w:rsidR="00AF3D4C" w:rsidRDefault="000428FF" w:rsidP="003A63CD">
      <w:pPr>
        <w:autoSpaceDE w:val="0"/>
        <w:autoSpaceDN w:val="0"/>
        <w:adjustRightInd w:val="0"/>
        <w:spacing w:after="100" w:afterAutospacing="1" w:line="276" w:lineRule="auto"/>
        <w:rPr>
          <w:rFonts w:cs="Times New Roman"/>
        </w:rPr>
      </w:pPr>
      <w:r w:rsidRPr="009B4D7F">
        <w:rPr>
          <w:rFonts w:cs="Times New Roman"/>
        </w:rPr>
        <w:t>La questione si pone in termini sicuramente più problematici nel caso si qualificassero le prassi legittime quale limite esegetico della norma</w:t>
      </w:r>
      <w:r w:rsidR="00DD2F8B">
        <w:rPr>
          <w:rStyle w:val="Rimandonotaapidipagina"/>
          <w:rFonts w:cs="Times New Roman"/>
        </w:rPr>
        <w:footnoteReference w:id="2"/>
      </w:r>
      <w:r w:rsidRPr="009B4D7F">
        <w:rPr>
          <w:rFonts w:cs="Times New Roman"/>
        </w:rPr>
        <w:t>.</w:t>
      </w:r>
    </w:p>
    <w:p w14:paraId="5F01E70E" w14:textId="7DBF2D47" w:rsidR="000428FF" w:rsidRDefault="00F423D9" w:rsidP="003A63CD">
      <w:pPr>
        <w:autoSpaceDE w:val="0"/>
        <w:autoSpaceDN w:val="0"/>
        <w:adjustRightInd w:val="0"/>
        <w:spacing w:after="100" w:afterAutospacing="1" w:line="276" w:lineRule="auto"/>
        <w:rPr>
          <w:rFonts w:cs="Times New Roman"/>
          <w:color w:val="231F20"/>
        </w:rPr>
      </w:pPr>
      <w:r w:rsidRPr="009B4D7F">
        <w:rPr>
          <w:rFonts w:cs="Times New Roman"/>
        </w:rPr>
        <w:t>L’opinione maggioritaria propende per escludere l’illiceità penale</w:t>
      </w:r>
      <w:r w:rsidR="00F15F6A">
        <w:rPr>
          <w:rFonts w:cs="Times New Roman"/>
        </w:rPr>
        <w:t xml:space="preserve"> allorché una</w:t>
      </w:r>
      <w:r w:rsidRPr="009B4D7F">
        <w:rPr>
          <w:rFonts w:cs="Times New Roman"/>
        </w:rPr>
        <w:t xml:space="preserve"> </w:t>
      </w:r>
      <w:r w:rsidR="009B4D7F" w:rsidRPr="009B4D7F">
        <w:rPr>
          <w:rFonts w:cs="Times New Roman"/>
        </w:rPr>
        <w:t xml:space="preserve">condotta </w:t>
      </w:r>
      <w:r w:rsidR="00F15F6A">
        <w:rPr>
          <w:rFonts w:cs="Times New Roman"/>
        </w:rPr>
        <w:t>non sia amministrativamente sanzionabile, osservando che sembra</w:t>
      </w:r>
      <w:r w:rsidR="009B4D7F" w:rsidRPr="009B4D7F">
        <w:rPr>
          <w:rFonts w:cs="Times New Roman"/>
        </w:rPr>
        <w:t xml:space="preserve"> </w:t>
      </w:r>
      <w:r w:rsidR="009B4D7F" w:rsidRPr="00AE5570">
        <w:rPr>
          <w:rFonts w:cs="Times New Roman"/>
          <w:i/>
        </w:rPr>
        <w:t>«</w:t>
      </w:r>
      <w:r w:rsidR="009B4D7F" w:rsidRPr="00AE5570">
        <w:rPr>
          <w:rFonts w:cs="Times New Roman"/>
          <w:i/>
          <w:color w:val="231F20"/>
        </w:rPr>
        <w:t>estensibile anche alle ipotesi delittuose la delimitazione dell’area di illiceità operata in sede amministrativa, essendo irragionevole ritenere che un fatto sia irrilevante come manipolazione del mercato in sede amministrativa e integri invece l’omonimo delitto»</w:t>
      </w:r>
      <w:r w:rsidR="009678D1">
        <w:rPr>
          <w:rStyle w:val="Rimandonotaapidipagina"/>
          <w:rFonts w:cs="Times New Roman"/>
          <w:color w:val="231F20"/>
        </w:rPr>
        <w:footnoteReference w:id="3"/>
      </w:r>
      <w:r w:rsidR="009B4D7F" w:rsidRPr="009B4D7F">
        <w:rPr>
          <w:rFonts w:cs="Times New Roman"/>
          <w:color w:val="231F20"/>
        </w:rPr>
        <w:t>.</w:t>
      </w:r>
    </w:p>
    <w:p w14:paraId="44692753" w14:textId="77777777" w:rsidR="00AE3D98" w:rsidRDefault="00AE5570" w:rsidP="003A63CD">
      <w:pPr>
        <w:spacing w:after="100" w:afterAutospacing="1" w:line="276" w:lineRule="auto"/>
        <w:rPr>
          <w:rFonts w:cs="Times New Roman"/>
        </w:rPr>
      </w:pPr>
      <w:r>
        <w:rPr>
          <w:rFonts w:cs="Times New Roman"/>
        </w:rPr>
        <w:t xml:space="preserve">Tale argomento </w:t>
      </w:r>
      <w:r w:rsidRPr="00AF3D4C">
        <w:rPr>
          <w:rFonts w:cs="Times New Roman"/>
          <w:i/>
        </w:rPr>
        <w:t>a fortiori</w:t>
      </w:r>
      <w:r>
        <w:rPr>
          <w:rFonts w:cs="Times New Roman"/>
        </w:rPr>
        <w:t xml:space="preserve"> – se non sussiste illecito amministrativo non sussisterà neanche quello penale – </w:t>
      </w:r>
      <w:r w:rsidR="00AF3D4C">
        <w:rPr>
          <w:rFonts w:cs="Times New Roman"/>
        </w:rPr>
        <w:t xml:space="preserve">è stato contrastato dalla deduzione secondo cui </w:t>
      </w:r>
      <w:r w:rsidR="00AF3D4C" w:rsidRPr="00AF3D4C">
        <w:rPr>
          <w:rFonts w:cs="Times New Roman"/>
          <w:i/>
        </w:rPr>
        <w:t>«l’esimente potrebbe essere stata prevista per il solo illecito amministrativo, in quanto meno grave; elevandosi la pregnanza della manipolazione al rango di aggressività del reato, “non c’è prassi che tenga”, il fatto è socialmente inaccettabile e quindi va punito»</w:t>
      </w:r>
      <w:r w:rsidR="00AF3D4C">
        <w:rPr>
          <w:rStyle w:val="Rimandonotaapidipagina"/>
          <w:rFonts w:cs="Times New Roman"/>
        </w:rPr>
        <w:footnoteReference w:id="4"/>
      </w:r>
      <w:r w:rsidR="00E8049E">
        <w:rPr>
          <w:rFonts w:cs="Times New Roman"/>
        </w:rPr>
        <w:t>.</w:t>
      </w:r>
      <w:r w:rsidR="00B17110">
        <w:rPr>
          <w:rFonts w:cs="Times New Roman"/>
        </w:rPr>
        <w:t xml:space="preserve"> Si potrebbe così argomentare che la causa di esonero vale solo per le condotte dotate di un minor disvalore, mentre quando il pericolo giunge al grado richiesto dal reato sarà necessaria la tutela penale</w:t>
      </w:r>
      <w:r w:rsidR="00AE3D98">
        <w:rPr>
          <w:rFonts w:cs="Times New Roman"/>
        </w:rPr>
        <w:t xml:space="preserve">. </w:t>
      </w:r>
    </w:p>
    <w:p w14:paraId="08202D32" w14:textId="0CC8D5ED" w:rsidR="00C61EC1" w:rsidRPr="009B4D7F" w:rsidRDefault="00AE3D98" w:rsidP="003A63CD">
      <w:pPr>
        <w:spacing w:after="100" w:afterAutospacing="1" w:line="276" w:lineRule="auto"/>
        <w:rPr>
          <w:rFonts w:cs="Times New Roman"/>
        </w:rPr>
      </w:pPr>
      <w:r>
        <w:rPr>
          <w:rFonts w:cs="Times New Roman"/>
        </w:rPr>
        <w:t xml:space="preserve">Pertanto rientrerebbero nell’ambito della fattispecie amministrativa </w:t>
      </w:r>
      <w:r w:rsidR="00DA5D64">
        <w:rPr>
          <w:rFonts w:cs="Times New Roman"/>
        </w:rPr>
        <w:t xml:space="preserve">soltanto quelle condotte </w:t>
      </w:r>
      <w:r w:rsidR="00DA5D64" w:rsidRPr="00DA5D64">
        <w:rPr>
          <w:rFonts w:cs="Times New Roman"/>
          <w:i/>
        </w:rPr>
        <w:t xml:space="preserve">«che si sostanziano in operazioni di mercato non fraudolente o simulate e rispetto alle quali il </w:t>
      </w:r>
      <w:r w:rsidR="00B31C3E">
        <w:rPr>
          <w:rFonts w:cs="Times New Roman"/>
          <w:i/>
        </w:rPr>
        <w:t>legislatore</w:t>
      </w:r>
      <w:r w:rsidR="00DA5D64" w:rsidRPr="00DA5D64">
        <w:rPr>
          <w:rFonts w:cs="Times New Roman"/>
          <w:i/>
        </w:rPr>
        <w:t xml:space="preserve"> ha effettuato una valutazione di pericolosità astratta e generica, così recuperando una escalation in chiave di disvalore tra le due figure di illecito»</w:t>
      </w:r>
      <w:r w:rsidR="00DA5D64">
        <w:rPr>
          <w:rFonts w:cs="Times New Roman"/>
        </w:rPr>
        <w:t xml:space="preserve"> e per cui solo varrebbe la causa di esonero, stante il loro minor disvalore</w:t>
      </w:r>
      <w:r w:rsidR="00B17110">
        <w:rPr>
          <w:rStyle w:val="Rimandonotaapidipagina"/>
          <w:rFonts w:cs="Times New Roman"/>
        </w:rPr>
        <w:footnoteReference w:id="5"/>
      </w:r>
      <w:r w:rsidR="00B17110">
        <w:rPr>
          <w:rFonts w:cs="Times New Roman"/>
        </w:rPr>
        <w:t xml:space="preserve">. </w:t>
      </w:r>
    </w:p>
    <w:p w14:paraId="38E35C92" w14:textId="381671BB" w:rsidR="00281765" w:rsidRDefault="00AE3D98" w:rsidP="003A63CD">
      <w:pPr>
        <w:spacing w:after="100" w:afterAutospacing="1" w:line="276" w:lineRule="auto"/>
        <w:rPr>
          <w:rFonts w:cs="Times New Roman"/>
        </w:rPr>
      </w:pPr>
      <w:r>
        <w:rPr>
          <w:rFonts w:cs="Times New Roman"/>
        </w:rPr>
        <w:t>Dal punto di vista letterale, l</w:t>
      </w:r>
      <w:r w:rsidR="00AF3D4C">
        <w:rPr>
          <w:rFonts w:cs="Times New Roman"/>
        </w:rPr>
        <w:t xml:space="preserve">’esimente delle prassi legittime </w:t>
      </w:r>
      <w:r>
        <w:rPr>
          <w:rFonts w:cs="Times New Roman"/>
        </w:rPr>
        <w:t>si riferisce</w:t>
      </w:r>
      <w:r w:rsidR="00972009">
        <w:rPr>
          <w:rFonts w:cs="Times New Roman"/>
        </w:rPr>
        <w:t xml:space="preserve"> esclusivamente </w:t>
      </w:r>
      <w:r w:rsidR="00281765">
        <w:rPr>
          <w:rFonts w:cs="Times New Roman"/>
        </w:rPr>
        <w:t>al terzo comma,</w:t>
      </w:r>
      <w:r w:rsidR="00972009">
        <w:rPr>
          <w:rFonts w:cs="Times New Roman"/>
        </w:rPr>
        <w:t xml:space="preserve"> lett. a) e </w:t>
      </w:r>
      <w:r w:rsidR="00281765">
        <w:rPr>
          <w:rFonts w:cs="Times New Roman"/>
        </w:rPr>
        <w:t>b</w:t>
      </w:r>
      <w:r>
        <w:rPr>
          <w:rFonts w:cs="Times New Roman"/>
        </w:rPr>
        <w:t xml:space="preserve">), dell’illecito amministrativo. Inoltre tale comma </w:t>
      </w:r>
      <w:r w:rsidR="00281765">
        <w:rPr>
          <w:rFonts w:cs="Times New Roman"/>
        </w:rPr>
        <w:t xml:space="preserve">fa salve </w:t>
      </w:r>
      <w:r w:rsidR="00281765" w:rsidRPr="00D87F24">
        <w:rPr>
          <w:rFonts w:cs="Times New Roman"/>
          <w:i/>
        </w:rPr>
        <w:t>«le sanzioni penali quando il fatto costituisce reato»</w:t>
      </w:r>
      <w:r w:rsidR="00281765">
        <w:rPr>
          <w:rFonts w:cs="Times New Roman"/>
        </w:rPr>
        <w:t>, sanzioni che quindi sarebbero applicabili qualora non si configurasse l’esimente come scriminante</w:t>
      </w:r>
      <w:r w:rsidR="00281765">
        <w:rPr>
          <w:rStyle w:val="Rimandonotaapidipagina"/>
          <w:rFonts w:cs="Times New Roman"/>
        </w:rPr>
        <w:footnoteReference w:id="6"/>
      </w:r>
      <w:r w:rsidR="00281765">
        <w:rPr>
          <w:rFonts w:cs="Times New Roman"/>
        </w:rPr>
        <w:t>.</w:t>
      </w:r>
    </w:p>
    <w:p w14:paraId="37972342" w14:textId="53AB076E" w:rsidR="002B1852" w:rsidRDefault="00972009" w:rsidP="003A63CD">
      <w:pPr>
        <w:spacing w:after="100" w:afterAutospacing="1" w:line="276" w:lineRule="auto"/>
        <w:rPr>
          <w:rFonts w:cs="Times New Roman"/>
        </w:rPr>
      </w:pPr>
      <w:r>
        <w:rPr>
          <w:rFonts w:cs="Times New Roman"/>
        </w:rPr>
        <w:t>L’art. 180 del T.U.F. stabilisce</w:t>
      </w:r>
      <w:r w:rsidR="00E03DC7">
        <w:rPr>
          <w:rFonts w:cs="Times New Roman"/>
        </w:rPr>
        <w:t xml:space="preserve"> però</w:t>
      </w:r>
      <w:r>
        <w:rPr>
          <w:rFonts w:cs="Times New Roman"/>
        </w:rPr>
        <w:t xml:space="preserve"> cosa debba intendersi per prassi </w:t>
      </w:r>
      <w:r w:rsidR="00E03DC7">
        <w:rPr>
          <w:rFonts w:cs="Times New Roman"/>
        </w:rPr>
        <w:t xml:space="preserve">con riferimento all’intero titolo I </w:t>
      </w:r>
      <w:r w:rsidR="00E03DC7" w:rsidRPr="00053265">
        <w:rPr>
          <w:rFonts w:cs="Times New Roman"/>
          <w:i/>
        </w:rPr>
        <w:t>bis</w:t>
      </w:r>
      <w:r w:rsidR="00E03DC7">
        <w:rPr>
          <w:rFonts w:cs="Times New Roman"/>
        </w:rPr>
        <w:t xml:space="preserve"> </w:t>
      </w:r>
      <w:r>
        <w:rPr>
          <w:rFonts w:cs="Times New Roman"/>
        </w:rPr>
        <w:t>e non di alcune singole disposizioni</w:t>
      </w:r>
      <w:r w:rsidR="00E03DC7">
        <w:rPr>
          <w:rFonts w:cs="Times New Roman"/>
        </w:rPr>
        <w:t>, talché potrebbero ritenersi ammesse, e quindi lecite, le prassi con riferimento anche al delitto</w:t>
      </w:r>
      <w:r w:rsidR="00D87F24">
        <w:rPr>
          <w:rFonts w:cs="Times New Roman"/>
        </w:rPr>
        <w:t>. Ancora, sarebbe una grave i</w:t>
      </w:r>
      <w:r w:rsidR="00905092">
        <w:rPr>
          <w:rFonts w:cs="Times New Roman"/>
        </w:rPr>
        <w:t>n</w:t>
      </w:r>
      <w:r w:rsidR="00D87F24">
        <w:rPr>
          <w:rFonts w:cs="Times New Roman"/>
        </w:rPr>
        <w:t xml:space="preserve">coerenza del </w:t>
      </w:r>
      <w:r w:rsidR="00905092">
        <w:rPr>
          <w:rFonts w:cs="Times New Roman"/>
        </w:rPr>
        <w:t>sistema ammettere talune prassi e disciplinarne compiutamente il contenuto</w:t>
      </w:r>
      <w:r w:rsidR="003E66EC">
        <w:rPr>
          <w:rFonts w:cs="Times New Roman"/>
        </w:rPr>
        <w:t>, salvo poi</w:t>
      </w:r>
      <w:r w:rsidR="00905092">
        <w:rPr>
          <w:rFonts w:cs="Times New Roman"/>
        </w:rPr>
        <w:t xml:space="preserve"> allo stesso tempo </w:t>
      </w:r>
      <w:r w:rsidR="003E66EC">
        <w:rPr>
          <w:rFonts w:cs="Times New Roman"/>
        </w:rPr>
        <w:t xml:space="preserve">punirle, in quanto integrino un delitto, </w:t>
      </w:r>
      <w:r w:rsidR="00905092">
        <w:rPr>
          <w:rFonts w:cs="Times New Roman"/>
        </w:rPr>
        <w:t>con sanzioni quanto mai elevate</w:t>
      </w:r>
      <w:r w:rsidR="00053265">
        <w:rPr>
          <w:rStyle w:val="Rimandonotaapidipagina"/>
          <w:rFonts w:cs="Times New Roman"/>
        </w:rPr>
        <w:footnoteReference w:id="7"/>
      </w:r>
      <w:r w:rsidR="003032C1">
        <w:rPr>
          <w:rFonts w:cs="Times New Roman"/>
        </w:rPr>
        <w:t>.</w:t>
      </w:r>
    </w:p>
    <w:p w14:paraId="309CE046" w14:textId="65C4C62D" w:rsidR="003032C1" w:rsidRDefault="003032C1" w:rsidP="003A63CD">
      <w:pPr>
        <w:spacing w:after="100" w:afterAutospacing="1" w:line="276" w:lineRule="auto"/>
        <w:rPr>
          <w:rFonts w:cs="Times New Roman"/>
        </w:rPr>
      </w:pPr>
      <w:r>
        <w:rPr>
          <w:rFonts w:cs="Times New Roman"/>
        </w:rPr>
        <w:t xml:space="preserve">Vi sono buone </w:t>
      </w:r>
      <w:r w:rsidR="0074485B">
        <w:rPr>
          <w:rFonts w:cs="Times New Roman"/>
        </w:rPr>
        <w:t>deduzioni</w:t>
      </w:r>
      <w:r>
        <w:rPr>
          <w:rFonts w:cs="Times New Roman"/>
        </w:rPr>
        <w:t>, riconducibili alla coerenza del sistema, per ritenere che ove la sanzione di contenuto minore</w:t>
      </w:r>
      <w:r w:rsidR="0074485B">
        <w:rPr>
          <w:rFonts w:cs="Times New Roman"/>
        </w:rPr>
        <w:t xml:space="preserve"> non</w:t>
      </w:r>
      <w:r>
        <w:rPr>
          <w:rFonts w:cs="Times New Roman"/>
        </w:rPr>
        <w:t xml:space="preserve"> sia applicabile</w:t>
      </w:r>
      <w:r w:rsidR="0074485B">
        <w:rPr>
          <w:rFonts w:cs="Times New Roman"/>
        </w:rPr>
        <w:t xml:space="preserve">, ragionevolmente non </w:t>
      </w:r>
      <w:r w:rsidR="00F15F6A">
        <w:rPr>
          <w:rFonts w:cs="Times New Roman"/>
        </w:rPr>
        <w:t>dovrebbe esserlo</w:t>
      </w:r>
      <w:r w:rsidR="0074485B">
        <w:rPr>
          <w:rFonts w:cs="Times New Roman"/>
        </w:rPr>
        <w:t xml:space="preserve"> neanche quella penale, che è la maggiore</w:t>
      </w:r>
      <w:r w:rsidR="0074485B">
        <w:rPr>
          <w:rStyle w:val="Rimandonotaapidipagina"/>
          <w:rFonts w:cs="Times New Roman"/>
        </w:rPr>
        <w:footnoteReference w:id="8"/>
      </w:r>
      <w:r w:rsidR="0074485B">
        <w:rPr>
          <w:rFonts w:cs="Times New Roman"/>
        </w:rPr>
        <w:t xml:space="preserve">. </w:t>
      </w:r>
    </w:p>
    <w:p w14:paraId="0B52A3E2" w14:textId="2B304CAA" w:rsidR="00E8049E" w:rsidRDefault="00E03DC7" w:rsidP="003A63CD">
      <w:pPr>
        <w:spacing w:after="100" w:afterAutospacing="1" w:line="276" w:lineRule="auto"/>
        <w:rPr>
          <w:rFonts w:cs="Times New Roman"/>
        </w:rPr>
      </w:pPr>
      <w:r>
        <w:rPr>
          <w:rFonts w:cs="Times New Roman"/>
        </w:rPr>
        <w:t>Al netto del</w:t>
      </w:r>
      <w:r w:rsidR="00697190">
        <w:rPr>
          <w:rFonts w:cs="Times New Roman"/>
        </w:rPr>
        <w:t>le opinioni dottrinarie, che ve</w:t>
      </w:r>
      <w:r>
        <w:rPr>
          <w:rFonts w:cs="Times New Roman"/>
        </w:rPr>
        <w:t xml:space="preserve">dono nelle prassi legittime anche un modo per attenuare l’asprezza della disciplina e propendono in massima parte per avvalorare l’argomento </w:t>
      </w:r>
      <w:r w:rsidRPr="00E03DC7">
        <w:rPr>
          <w:rFonts w:cs="Times New Roman"/>
          <w:i/>
        </w:rPr>
        <w:t>a fortiori</w:t>
      </w:r>
      <w:r>
        <w:rPr>
          <w:rFonts w:cs="Times New Roman"/>
        </w:rPr>
        <w:t xml:space="preserve">, </w:t>
      </w:r>
      <w:r w:rsidR="002B1852">
        <w:rPr>
          <w:rFonts w:cs="Times New Roman"/>
        </w:rPr>
        <w:t>non si può ignorare come</w:t>
      </w:r>
      <w:r w:rsidR="00E8049E">
        <w:rPr>
          <w:rFonts w:cs="Times New Roman"/>
        </w:rPr>
        <w:t xml:space="preserve"> qualunque interpretazione dovrebbe rispettare</w:t>
      </w:r>
      <w:r w:rsidR="002B1852">
        <w:rPr>
          <w:rFonts w:cs="Times New Roman"/>
        </w:rPr>
        <w:t xml:space="preserve"> il principio di tassatività ed il divieto di analogia. </w:t>
      </w:r>
      <w:r w:rsidR="008110CD">
        <w:rPr>
          <w:rFonts w:cs="Times New Roman"/>
        </w:rPr>
        <w:t xml:space="preserve">Anche se nel caso di specie </w:t>
      </w:r>
      <w:r w:rsidR="00FC1D51">
        <w:rPr>
          <w:rFonts w:cs="Times New Roman"/>
        </w:rPr>
        <w:t xml:space="preserve">gli effetti si produrrebbero solo </w:t>
      </w:r>
      <w:r w:rsidR="00FC1D51" w:rsidRPr="00FC1D51">
        <w:rPr>
          <w:rFonts w:cs="Times New Roman"/>
          <w:i/>
        </w:rPr>
        <w:t>in bonam partem</w:t>
      </w:r>
      <w:r w:rsidR="00FC1D51">
        <w:rPr>
          <w:rFonts w:cs="Times New Roman"/>
        </w:rPr>
        <w:t>, si possono a tal proposito richiamare le perplessità espresse con riferimento ad una possibile origine consuetudinaria della scriminante</w:t>
      </w:r>
      <w:r w:rsidR="00FC1D51">
        <w:rPr>
          <w:rStyle w:val="Rimandonotaapidipagina"/>
          <w:rFonts w:cs="Times New Roman"/>
        </w:rPr>
        <w:footnoteReference w:id="9"/>
      </w:r>
      <w:r w:rsidR="00FC1D51">
        <w:rPr>
          <w:rFonts w:cs="Times New Roman"/>
        </w:rPr>
        <w:t xml:space="preserve">, </w:t>
      </w:r>
      <w:r w:rsidR="00FE600D">
        <w:rPr>
          <w:rFonts w:cs="Times New Roman"/>
        </w:rPr>
        <w:t>che non garantirebbe la necessaria certezza del diritto nel campo penale.</w:t>
      </w:r>
    </w:p>
    <w:p w14:paraId="2D464E26" w14:textId="0BCD8419" w:rsidR="00AF3D4C" w:rsidRDefault="002B1852" w:rsidP="003A63CD">
      <w:pPr>
        <w:spacing w:after="100" w:afterAutospacing="1" w:line="276" w:lineRule="auto"/>
        <w:rPr>
          <w:rFonts w:cs="Times New Roman"/>
        </w:rPr>
      </w:pPr>
      <w:r>
        <w:rPr>
          <w:rFonts w:cs="Times New Roman"/>
        </w:rPr>
        <w:t>Inoltre si potrebbero rimarcare le differenze tra r</w:t>
      </w:r>
      <w:r w:rsidR="00FC379E">
        <w:rPr>
          <w:rFonts w:cs="Times New Roman"/>
        </w:rPr>
        <w:t>eato ed illecito amministrativo. Quest’ultimo, in particolare,</w:t>
      </w:r>
      <w:r>
        <w:rPr>
          <w:rFonts w:cs="Times New Roman"/>
        </w:rPr>
        <w:t xml:space="preserve"> presenta una struttura ben più articolata</w:t>
      </w:r>
      <w:r w:rsidR="00E8049E">
        <w:rPr>
          <w:rFonts w:cs="Times New Roman"/>
        </w:rPr>
        <w:t xml:space="preserve">, è punito come fattispecie </w:t>
      </w:r>
      <w:r w:rsidR="00DA5D64">
        <w:rPr>
          <w:rFonts w:cs="Times New Roman"/>
        </w:rPr>
        <w:t>di pericolo</w:t>
      </w:r>
      <w:r w:rsidR="00E8049E">
        <w:rPr>
          <w:rFonts w:cs="Times New Roman"/>
        </w:rPr>
        <w:t xml:space="preserve"> ed</w:t>
      </w:r>
      <w:r w:rsidR="00FC379E">
        <w:rPr>
          <w:rFonts w:cs="Times New Roman"/>
        </w:rPr>
        <w:t xml:space="preserve"> è configurabile</w:t>
      </w:r>
      <w:r w:rsidR="00E8049E">
        <w:rPr>
          <w:rFonts w:cs="Times New Roman"/>
        </w:rPr>
        <w:t xml:space="preserve"> anche nella forma colposa</w:t>
      </w:r>
      <w:r>
        <w:rPr>
          <w:rStyle w:val="Rimandonotaapidipagina"/>
          <w:rFonts w:cs="Times New Roman"/>
        </w:rPr>
        <w:footnoteReference w:id="10"/>
      </w:r>
      <w:r>
        <w:rPr>
          <w:rFonts w:cs="Times New Roman"/>
        </w:rPr>
        <w:t>.</w:t>
      </w:r>
      <w:r w:rsidR="00FE600D">
        <w:rPr>
          <w:rFonts w:cs="Times New Roman"/>
        </w:rPr>
        <w:t xml:space="preserve"> </w:t>
      </w:r>
    </w:p>
    <w:p w14:paraId="6DCE7F82" w14:textId="46C78E35" w:rsidR="0074485B" w:rsidRDefault="00AD3D93" w:rsidP="003A63CD">
      <w:pPr>
        <w:spacing w:after="100" w:afterAutospacing="1" w:line="276" w:lineRule="auto"/>
        <w:rPr>
          <w:rFonts w:cs="Times New Roman"/>
        </w:rPr>
      </w:pPr>
      <w:r>
        <w:rPr>
          <w:rFonts w:cs="Times New Roman"/>
        </w:rPr>
        <w:t xml:space="preserve">Invero vi è concordia della dottrina sull’esigenza di escludere l’illecito penale, tanto che Fondaroli invoca un intervento chiarificatore del </w:t>
      </w:r>
      <w:r w:rsidR="00B31C3E">
        <w:rPr>
          <w:rFonts w:cs="Times New Roman"/>
        </w:rPr>
        <w:t>legislatore</w:t>
      </w:r>
      <w:r w:rsidR="000C18A2">
        <w:rPr>
          <w:rFonts w:cs="Times New Roman"/>
        </w:rPr>
        <w:t xml:space="preserve"> a dissipare eventuali incertezze residue</w:t>
      </w:r>
      <w:r>
        <w:rPr>
          <w:rStyle w:val="Rimandonotaapidipagina"/>
          <w:rFonts w:cs="Times New Roman"/>
        </w:rPr>
        <w:footnoteReference w:id="11"/>
      </w:r>
      <w:r>
        <w:rPr>
          <w:rFonts w:cs="Times New Roman"/>
        </w:rPr>
        <w:t xml:space="preserve">; le divergenze invece risiedono nel fondamento normativo di tale esclusione, che solo alcuni autori ravvisano. </w:t>
      </w:r>
      <w:r w:rsidR="00E8049E">
        <w:rPr>
          <w:rFonts w:cs="Times New Roman"/>
        </w:rPr>
        <w:t xml:space="preserve">In assenza di una chiara indicazione del </w:t>
      </w:r>
      <w:r w:rsidR="00B31C3E">
        <w:rPr>
          <w:rFonts w:cs="Times New Roman"/>
        </w:rPr>
        <w:t>legislatore</w:t>
      </w:r>
      <w:r w:rsidR="00E8049E">
        <w:rPr>
          <w:rFonts w:cs="Times New Roman"/>
        </w:rPr>
        <w:t>, si devono adottare argomenti di ordine logico e sistematico volti a chiarire i limiti dell’esenzione.</w:t>
      </w:r>
      <w:r w:rsidR="00DA5D64">
        <w:rPr>
          <w:rFonts w:cs="Times New Roman"/>
        </w:rPr>
        <w:t xml:space="preserve"> </w:t>
      </w:r>
    </w:p>
    <w:p w14:paraId="641159BF" w14:textId="48F388CF" w:rsidR="00697190" w:rsidRDefault="0074485B" w:rsidP="003A63CD">
      <w:pPr>
        <w:spacing w:after="100" w:afterAutospacing="1" w:line="276" w:lineRule="auto"/>
        <w:rPr>
          <w:rFonts w:cs="Times New Roman"/>
        </w:rPr>
      </w:pPr>
      <w:r>
        <w:rPr>
          <w:rFonts w:cs="Times New Roman"/>
        </w:rPr>
        <w:t xml:space="preserve">Una “via di fuga” dal problema è </w:t>
      </w:r>
      <w:r w:rsidR="007053FF">
        <w:rPr>
          <w:rFonts w:cs="Times New Roman"/>
        </w:rPr>
        <w:t>proposta</w:t>
      </w:r>
      <w:r>
        <w:rPr>
          <w:rFonts w:cs="Times New Roman"/>
        </w:rPr>
        <w:t xml:space="preserve"> da</w:t>
      </w:r>
      <w:r w:rsidR="00DA5D64">
        <w:rPr>
          <w:rFonts w:cs="Times New Roman"/>
        </w:rPr>
        <w:t xml:space="preserve"> Nieto </w:t>
      </w:r>
      <w:r w:rsidR="00666FB8">
        <w:rPr>
          <w:rFonts w:cs="Times New Roman"/>
        </w:rPr>
        <w:t>Martìn</w:t>
      </w:r>
      <w:r w:rsidR="00F15F6A">
        <w:rPr>
          <w:rFonts w:cs="Times New Roman"/>
        </w:rPr>
        <w:t>,</w:t>
      </w:r>
      <w:r>
        <w:rPr>
          <w:rFonts w:cs="Times New Roman"/>
        </w:rPr>
        <w:t xml:space="preserve"> il quale ha riflettuto </w:t>
      </w:r>
      <w:r w:rsidR="00666FB8">
        <w:rPr>
          <w:rFonts w:cs="Times New Roman"/>
        </w:rPr>
        <w:t xml:space="preserve">sulla capacità delle linee guida del CESR </w:t>
      </w:r>
      <w:r>
        <w:rPr>
          <w:rFonts w:cs="Times New Roman"/>
        </w:rPr>
        <w:t>come</w:t>
      </w:r>
      <w:r w:rsidR="00666FB8">
        <w:rPr>
          <w:rFonts w:cs="Times New Roman"/>
        </w:rPr>
        <w:t xml:space="preserve"> delle prassi legittime</w:t>
      </w:r>
      <w:r>
        <w:rPr>
          <w:rStyle w:val="Rimandonotaapidipagina"/>
          <w:rFonts w:cs="Times New Roman"/>
        </w:rPr>
        <w:footnoteReference w:id="12"/>
      </w:r>
      <w:r w:rsidR="00666FB8">
        <w:rPr>
          <w:rFonts w:cs="Times New Roman"/>
        </w:rPr>
        <w:t xml:space="preserve"> di generare il convincimento di una liceità</w:t>
      </w:r>
      <w:r w:rsidR="00631962">
        <w:rPr>
          <w:rFonts w:cs="Times New Roman"/>
        </w:rPr>
        <w:t xml:space="preserve"> sia</w:t>
      </w:r>
      <w:r w:rsidR="00666FB8">
        <w:rPr>
          <w:rFonts w:cs="Times New Roman"/>
        </w:rPr>
        <w:t xml:space="preserve"> amministrativa </w:t>
      </w:r>
      <w:r w:rsidR="00631962">
        <w:rPr>
          <w:rFonts w:cs="Times New Roman"/>
        </w:rPr>
        <w:t>sia</w:t>
      </w:r>
      <w:r w:rsidR="00666FB8">
        <w:rPr>
          <w:rFonts w:cs="Times New Roman"/>
        </w:rPr>
        <w:t xml:space="preserve"> penale di determinate prassi</w:t>
      </w:r>
      <w:r w:rsidR="00064EE6">
        <w:rPr>
          <w:rFonts w:cs="Times New Roman"/>
        </w:rPr>
        <w:t xml:space="preserve">. L’affidamento </w:t>
      </w:r>
      <w:r w:rsidR="007563FD">
        <w:rPr>
          <w:rFonts w:cs="Times New Roman"/>
        </w:rPr>
        <w:t>scuserebbe</w:t>
      </w:r>
      <w:r w:rsidR="00064EE6">
        <w:rPr>
          <w:rFonts w:cs="Times New Roman"/>
        </w:rPr>
        <w:t xml:space="preserve"> così </w:t>
      </w:r>
      <w:r w:rsidR="007563FD">
        <w:rPr>
          <w:rFonts w:cs="Times New Roman"/>
        </w:rPr>
        <w:t>un</w:t>
      </w:r>
      <w:r w:rsidR="00064EE6">
        <w:rPr>
          <w:rFonts w:cs="Times New Roman"/>
        </w:rPr>
        <w:t xml:space="preserve"> </w:t>
      </w:r>
      <w:r w:rsidR="002F71D4">
        <w:rPr>
          <w:rFonts w:cs="Times New Roman"/>
        </w:rPr>
        <w:t>eventuale errore sull’esatta</w:t>
      </w:r>
      <w:r w:rsidR="007563FD">
        <w:rPr>
          <w:rFonts w:cs="Times New Roman"/>
        </w:rPr>
        <w:t xml:space="preserve"> conoscenza de</w:t>
      </w:r>
      <w:r w:rsidR="002F71D4">
        <w:rPr>
          <w:rFonts w:cs="Times New Roman"/>
        </w:rPr>
        <w:t>lla legge</w:t>
      </w:r>
      <w:r w:rsidR="00666FB8">
        <w:rPr>
          <w:rStyle w:val="Rimandonotaapidipagina"/>
          <w:rFonts w:cs="Times New Roman"/>
        </w:rPr>
        <w:footnoteReference w:id="13"/>
      </w:r>
      <w:r w:rsidR="00666FB8">
        <w:rPr>
          <w:rFonts w:cs="Times New Roman"/>
        </w:rPr>
        <w:t>.</w:t>
      </w:r>
      <w:r w:rsidR="00064EE6">
        <w:rPr>
          <w:rFonts w:cs="Times New Roman"/>
        </w:rPr>
        <w:t xml:space="preserve"> </w:t>
      </w:r>
      <w:r w:rsidR="002F71D4">
        <w:rPr>
          <w:rFonts w:cs="Times New Roman"/>
        </w:rPr>
        <w:t>L’opinione maggioritaria in dottrina nel senso dell’esclusione del reato, d’altronde, testimonierebbe l’oscurità del dettato normativo.</w:t>
      </w:r>
    </w:p>
    <w:p w14:paraId="26BA49C4" w14:textId="00DB4460" w:rsidR="00EE68D6" w:rsidRDefault="007053FF" w:rsidP="003A63CD">
      <w:pPr>
        <w:spacing w:after="100" w:afterAutospacing="1" w:line="276" w:lineRule="auto"/>
        <w:rPr>
          <w:rFonts w:cs="Times New Roman"/>
        </w:rPr>
      </w:pPr>
      <w:r>
        <w:rPr>
          <w:rFonts w:cs="Times New Roman"/>
        </w:rPr>
        <w:t xml:space="preserve">Un primo argomento risolutivo è </w:t>
      </w:r>
      <w:r w:rsidR="00F15F6A">
        <w:rPr>
          <w:rFonts w:cs="Times New Roman"/>
        </w:rPr>
        <w:t>prospettat</w:t>
      </w:r>
      <w:r w:rsidR="00B31C3E">
        <w:rPr>
          <w:rFonts w:cs="Times New Roman"/>
        </w:rPr>
        <w:t>o</w:t>
      </w:r>
      <w:r>
        <w:rPr>
          <w:rFonts w:cs="Times New Roman"/>
        </w:rPr>
        <w:t xml:space="preserve"> invece da </w:t>
      </w:r>
      <w:r w:rsidR="006A1987">
        <w:rPr>
          <w:rFonts w:cs="Times New Roman"/>
        </w:rPr>
        <w:t>Masucci, il quale interpreta la previsione alla luce del disposto della MAD, che sanziona astrattamente le condotte manipolative</w:t>
      </w:r>
      <w:r w:rsidR="00F15F6A">
        <w:rPr>
          <w:rFonts w:cs="Times New Roman"/>
        </w:rPr>
        <w:t>,</w:t>
      </w:r>
      <w:r w:rsidR="006A1987">
        <w:rPr>
          <w:rFonts w:cs="Times New Roman"/>
        </w:rPr>
        <w:t xml:space="preserve"> senza distinzione alcuna tra illecito penale ed amministrativo. Perciò contrasterebbe con la disciplina comunitaria una interpretazione delle prassi legittime che escludesse solo uno dei due tipi di illiceità</w:t>
      </w:r>
      <w:r w:rsidR="006A1987">
        <w:rPr>
          <w:rStyle w:val="Rimandonotaapidipagina"/>
          <w:rFonts w:cs="Times New Roman"/>
        </w:rPr>
        <w:footnoteReference w:id="14"/>
      </w:r>
      <w:r w:rsidR="006A1987">
        <w:rPr>
          <w:rFonts w:cs="Times New Roman"/>
        </w:rPr>
        <w:t>.</w:t>
      </w:r>
    </w:p>
    <w:p w14:paraId="4CB964C8" w14:textId="76DAD49D" w:rsidR="00813A62" w:rsidRDefault="00EE68D6" w:rsidP="003A63CD">
      <w:pPr>
        <w:spacing w:after="100" w:afterAutospacing="1" w:line="276" w:lineRule="auto"/>
        <w:rPr>
          <w:rFonts w:cs="Times New Roman"/>
        </w:rPr>
      </w:pPr>
      <w:r>
        <w:rPr>
          <w:rFonts w:cs="Times New Roman"/>
        </w:rPr>
        <w:t xml:space="preserve">Inoltre, se sanzionare penalmente la manipolazione rientra tra le facoltà degli Stati membri, sarebbe del tutto irragionevole che negli Stati che prevedono la sola sanzione amministrativa le prassi legittime siano pienamente lecite, mentre qualora la sanzione amministrativa concorra con quella penale </w:t>
      </w:r>
      <w:r w:rsidR="00813A62">
        <w:rPr>
          <w:rFonts w:cs="Times New Roman"/>
        </w:rPr>
        <w:t xml:space="preserve">potrebbe residuare un reato a seconda di come il </w:t>
      </w:r>
      <w:r w:rsidR="00B31C3E">
        <w:rPr>
          <w:rFonts w:cs="Times New Roman"/>
        </w:rPr>
        <w:t>legislatore</w:t>
      </w:r>
      <w:r w:rsidR="00813A62">
        <w:rPr>
          <w:rFonts w:cs="Times New Roman"/>
        </w:rPr>
        <w:t xml:space="preserve"> nazionale </w:t>
      </w:r>
      <w:r w:rsidR="00F15F6A">
        <w:rPr>
          <w:rFonts w:cs="Times New Roman"/>
        </w:rPr>
        <w:t>abbia</w:t>
      </w:r>
      <w:r w:rsidR="00813A62">
        <w:rPr>
          <w:rFonts w:cs="Times New Roman"/>
        </w:rPr>
        <w:t xml:space="preserve"> recepito la norma.</w:t>
      </w:r>
    </w:p>
    <w:p w14:paraId="558088D1" w14:textId="555A41CE" w:rsidR="000424AE" w:rsidRDefault="000424AE" w:rsidP="003A63CD">
      <w:pPr>
        <w:spacing w:after="100" w:afterAutospacing="1" w:line="276" w:lineRule="auto"/>
        <w:rPr>
          <w:rFonts w:cs="Times New Roman"/>
        </w:rPr>
      </w:pPr>
      <w:r>
        <w:rPr>
          <w:rFonts w:cs="Times New Roman"/>
        </w:rPr>
        <w:t xml:space="preserve">Partendo da questa riflessione, si </w:t>
      </w:r>
      <w:r w:rsidR="00D96B80">
        <w:rPr>
          <w:rFonts w:cs="Times New Roman"/>
        </w:rPr>
        <w:t>possono</w:t>
      </w:r>
      <w:r>
        <w:rPr>
          <w:rFonts w:cs="Times New Roman"/>
        </w:rPr>
        <w:t xml:space="preserve"> </w:t>
      </w:r>
      <w:r w:rsidR="00D96B80">
        <w:rPr>
          <w:rFonts w:cs="Times New Roman"/>
        </w:rPr>
        <w:t>evidenziare</w:t>
      </w:r>
      <w:r>
        <w:rPr>
          <w:rFonts w:cs="Times New Roman"/>
        </w:rPr>
        <w:t xml:space="preserve"> i diversi piani applicativi su cui operano le du</w:t>
      </w:r>
      <w:r w:rsidR="00AE4FB3">
        <w:rPr>
          <w:rFonts w:cs="Times New Roman"/>
        </w:rPr>
        <w:t>e norme e ricondurle a coerenza.</w:t>
      </w:r>
      <w:r w:rsidR="00D96B80">
        <w:rPr>
          <w:rFonts w:cs="Times New Roman"/>
        </w:rPr>
        <w:t xml:space="preserve"> </w:t>
      </w:r>
      <w:r w:rsidR="00AE4FB3">
        <w:rPr>
          <w:rFonts w:cs="Times New Roman"/>
        </w:rPr>
        <w:t>L</w:t>
      </w:r>
      <w:r>
        <w:rPr>
          <w:rFonts w:cs="Times New Roman"/>
        </w:rPr>
        <w:t>’illec</w:t>
      </w:r>
      <w:r w:rsidR="00AE4FB3">
        <w:rPr>
          <w:rFonts w:cs="Times New Roman"/>
        </w:rPr>
        <w:t xml:space="preserve">ito amministrativo ha natura </w:t>
      </w:r>
      <w:r>
        <w:rPr>
          <w:rFonts w:cs="Times New Roman"/>
        </w:rPr>
        <w:t xml:space="preserve">di pericolo astratto e solleva </w:t>
      </w:r>
      <w:r w:rsidRPr="00D96B80">
        <w:rPr>
          <w:rFonts w:cs="Times New Roman"/>
          <w:i/>
        </w:rPr>
        <w:t>«il giudice dal verificare la concreta idoneità lesiva dell’operazione realizzata rispetto al libero operare delle dinamiche del mercato»</w:t>
      </w:r>
      <w:r w:rsidR="00AE4FB3" w:rsidRPr="00AE4FB3">
        <w:rPr>
          <w:rStyle w:val="Rimandonotaapidipagina"/>
          <w:rFonts w:cs="Times New Roman"/>
        </w:rPr>
        <w:footnoteReference w:id="15"/>
      </w:r>
      <w:r w:rsidR="00F15F6A">
        <w:rPr>
          <w:rFonts w:cs="Times New Roman"/>
        </w:rPr>
        <w:t>;</w:t>
      </w:r>
      <w:r>
        <w:rPr>
          <w:rFonts w:cs="Times New Roman"/>
        </w:rPr>
        <w:t xml:space="preserve"> </w:t>
      </w:r>
      <w:r w:rsidR="0014671B">
        <w:rPr>
          <w:rFonts w:cs="Times New Roman"/>
        </w:rPr>
        <w:t>al contrario</w:t>
      </w:r>
      <w:r w:rsidR="00D96B80">
        <w:rPr>
          <w:rFonts w:cs="Times New Roman"/>
        </w:rPr>
        <w:t xml:space="preserve"> il delitto è costruito come fattispecie a pericolo concreto</w:t>
      </w:r>
      <w:r w:rsidR="00AE4FB3">
        <w:rPr>
          <w:rFonts w:cs="Times New Roman"/>
        </w:rPr>
        <w:t xml:space="preserve"> ed implica</w:t>
      </w:r>
      <w:r w:rsidR="003C13D4">
        <w:rPr>
          <w:rFonts w:cs="Times New Roman"/>
        </w:rPr>
        <w:t xml:space="preserve"> </w:t>
      </w:r>
      <w:r w:rsidR="00D96B80">
        <w:rPr>
          <w:rFonts w:cs="Times New Roman"/>
        </w:rPr>
        <w:t xml:space="preserve">una </w:t>
      </w:r>
      <w:r w:rsidR="003C13D4">
        <w:rPr>
          <w:rFonts w:cs="Times New Roman"/>
        </w:rPr>
        <w:t>valutazione sull’</w:t>
      </w:r>
      <w:r w:rsidR="00D96B80">
        <w:rPr>
          <w:rFonts w:cs="Times New Roman"/>
        </w:rPr>
        <w:t xml:space="preserve">effettiva </w:t>
      </w:r>
      <w:r w:rsidR="006D269A">
        <w:rPr>
          <w:rFonts w:cs="Times New Roman"/>
        </w:rPr>
        <w:t xml:space="preserve">idoneità </w:t>
      </w:r>
      <w:r w:rsidR="00B31C3E">
        <w:rPr>
          <w:rFonts w:cs="Times New Roman"/>
        </w:rPr>
        <w:t xml:space="preserve">della condotta ad alterare il </w:t>
      </w:r>
      <w:r w:rsidR="006D269A">
        <w:rPr>
          <w:rFonts w:cs="Times New Roman"/>
        </w:rPr>
        <w:t>prezzo</w:t>
      </w:r>
      <w:r w:rsidR="00D96B80">
        <w:rPr>
          <w:rFonts w:cs="Times New Roman"/>
        </w:rPr>
        <w:t xml:space="preserve"> nell’esame della tipicità del fatto</w:t>
      </w:r>
      <w:r w:rsidR="003C13D4">
        <w:rPr>
          <w:rStyle w:val="Rimandonotaapidipagina"/>
          <w:rFonts w:cs="Times New Roman"/>
        </w:rPr>
        <w:footnoteReference w:id="16"/>
      </w:r>
      <w:r w:rsidR="00D96B80">
        <w:rPr>
          <w:rFonts w:cs="Times New Roman"/>
        </w:rPr>
        <w:t>.</w:t>
      </w:r>
    </w:p>
    <w:p w14:paraId="6549582B" w14:textId="140AC005" w:rsidR="003C13D4" w:rsidRDefault="00915D94" w:rsidP="003A63CD">
      <w:pPr>
        <w:spacing w:after="100" w:afterAutospacing="1" w:line="276" w:lineRule="auto"/>
        <w:rPr>
          <w:rFonts w:cs="Times New Roman"/>
        </w:rPr>
      </w:pPr>
      <w:r>
        <w:rPr>
          <w:rFonts w:cs="Times New Roman"/>
        </w:rPr>
        <w:t>Ne consegue che</w:t>
      </w:r>
      <w:r w:rsidR="00352888">
        <w:rPr>
          <w:rFonts w:cs="Times New Roman"/>
        </w:rPr>
        <w:t xml:space="preserve">, </w:t>
      </w:r>
      <w:r>
        <w:rPr>
          <w:rFonts w:cs="Times New Roman"/>
        </w:rPr>
        <w:t xml:space="preserve">se </w:t>
      </w:r>
      <w:r w:rsidR="00225809">
        <w:rPr>
          <w:rFonts w:cs="Times New Roman"/>
        </w:rPr>
        <w:t>il delitto si giustifica</w:t>
      </w:r>
      <w:r>
        <w:rPr>
          <w:rFonts w:cs="Times New Roman"/>
        </w:rPr>
        <w:t xml:space="preserve"> in quanto les</w:t>
      </w:r>
      <w:r w:rsidR="00225809">
        <w:rPr>
          <w:rFonts w:cs="Times New Roman"/>
        </w:rPr>
        <w:t>ivo</w:t>
      </w:r>
      <w:r>
        <w:rPr>
          <w:rFonts w:cs="Times New Roman"/>
        </w:rPr>
        <w:t xml:space="preserve"> dell’integrità del mercato e se </w:t>
      </w:r>
      <w:r w:rsidR="00EA619B">
        <w:rPr>
          <w:rFonts w:cs="Times New Roman"/>
        </w:rPr>
        <w:t>la presenza</w:t>
      </w:r>
      <w:r>
        <w:rPr>
          <w:rFonts w:cs="Times New Roman"/>
        </w:rPr>
        <w:t xml:space="preserve"> delle prassi è funzionale a promuover</w:t>
      </w:r>
      <w:r w:rsidR="00EA619B">
        <w:rPr>
          <w:rFonts w:cs="Times New Roman"/>
        </w:rPr>
        <w:t>n</w:t>
      </w:r>
      <w:r>
        <w:rPr>
          <w:rFonts w:cs="Times New Roman"/>
        </w:rPr>
        <w:t>e l’integrità</w:t>
      </w:r>
      <w:r w:rsidR="00EA619B">
        <w:rPr>
          <w:rFonts w:cs="Times New Roman"/>
        </w:rPr>
        <w:t>,</w:t>
      </w:r>
      <w:r>
        <w:rPr>
          <w:rFonts w:cs="Times New Roman"/>
        </w:rPr>
        <w:t xml:space="preserve"> seppur derogando potenzialmente alla previsione generale che non ammetterebbe l’alterazione del prezzo, punire</w:t>
      </w:r>
      <w:r w:rsidR="005D641B">
        <w:rPr>
          <w:rFonts w:cs="Times New Roman"/>
        </w:rPr>
        <w:t xml:space="preserve"> una prassi ammessa significher</w:t>
      </w:r>
      <w:r>
        <w:rPr>
          <w:rFonts w:cs="Times New Roman"/>
        </w:rPr>
        <w:t xml:space="preserve">ebbe punire </w:t>
      </w:r>
      <w:r w:rsidR="0063366D">
        <w:rPr>
          <w:rFonts w:cs="Times New Roman"/>
        </w:rPr>
        <w:t>una condotta che</w:t>
      </w:r>
      <w:r w:rsidR="00EA2E39">
        <w:rPr>
          <w:rFonts w:cs="Times New Roman"/>
        </w:rPr>
        <w:t xml:space="preserve"> non solo</w:t>
      </w:r>
      <w:r w:rsidR="0063366D">
        <w:rPr>
          <w:rFonts w:cs="Times New Roman"/>
        </w:rPr>
        <w:t xml:space="preserve"> manca di offensività</w:t>
      </w:r>
      <w:r w:rsidR="0014671B">
        <w:rPr>
          <w:rFonts w:cs="Times New Roman"/>
        </w:rPr>
        <w:t>,</w:t>
      </w:r>
      <w:r w:rsidR="00EA2E39">
        <w:rPr>
          <w:rFonts w:cs="Times New Roman"/>
        </w:rPr>
        <w:t xml:space="preserve"> ma che, al</w:t>
      </w:r>
      <w:r w:rsidR="0014671B">
        <w:rPr>
          <w:rFonts w:cs="Times New Roman"/>
        </w:rPr>
        <w:t>l’o</w:t>
      </w:r>
      <w:r w:rsidR="001B63B0">
        <w:rPr>
          <w:rFonts w:cs="Times New Roman"/>
        </w:rPr>
        <w:t>p</w:t>
      </w:r>
      <w:r w:rsidR="0014671B">
        <w:rPr>
          <w:rFonts w:cs="Times New Roman"/>
        </w:rPr>
        <w:t>posto</w:t>
      </w:r>
      <w:r w:rsidR="00EA2E39">
        <w:rPr>
          <w:rFonts w:cs="Times New Roman"/>
        </w:rPr>
        <w:t>, promuove</w:t>
      </w:r>
      <w:r w:rsidR="0014671B">
        <w:rPr>
          <w:rFonts w:cs="Times New Roman"/>
        </w:rPr>
        <w:t xml:space="preserve"> l’integrità del mercato, anziché deteriorarla</w:t>
      </w:r>
      <w:r w:rsidR="0063366D">
        <w:rPr>
          <w:rFonts w:cs="Times New Roman"/>
        </w:rPr>
        <w:t>.</w:t>
      </w:r>
    </w:p>
    <w:p w14:paraId="4E967979" w14:textId="5D0CE6A1" w:rsidR="006D269A" w:rsidRDefault="006D269A" w:rsidP="003A63CD">
      <w:pPr>
        <w:spacing w:after="100" w:afterAutospacing="1" w:line="276" w:lineRule="auto"/>
        <w:rPr>
          <w:rFonts w:cs="Times New Roman"/>
        </w:rPr>
      </w:pPr>
      <w:r>
        <w:rPr>
          <w:rFonts w:cs="Times New Roman"/>
        </w:rPr>
        <w:t xml:space="preserve">In questo senso sembra che l’ammissione della prassi fornisca una patente di legittimità ad una determinata pratica in quanto dichiara </w:t>
      </w:r>
      <w:r w:rsidR="000F6FF0" w:rsidRPr="000F6FF0">
        <w:rPr>
          <w:rFonts w:cs="Times New Roman"/>
          <w:i/>
        </w:rPr>
        <w:t>ex ante</w:t>
      </w:r>
      <w:r w:rsidR="000F6FF0">
        <w:rPr>
          <w:rFonts w:cs="Times New Roman"/>
        </w:rPr>
        <w:t xml:space="preserve"> </w:t>
      </w:r>
      <w:r>
        <w:rPr>
          <w:rFonts w:cs="Times New Roman"/>
        </w:rPr>
        <w:t>la sua inoffensività, patente che avrà valore sia quando l’alterazione sia meramente astratta, come nell’illecito amministrativo, sia quando l’alterazione assurga al grado di pericolo concreto, come avviene con il delitto.</w:t>
      </w:r>
      <w:r w:rsidR="002C28B5">
        <w:rPr>
          <w:rFonts w:cs="Times New Roman"/>
        </w:rPr>
        <w:t xml:space="preserve"> Si può così dire che le prassi legittime costituiscano un “limite negativo” non solo per l’illecito amministrativo di manipolazione del mercato, ma anche per quello penale.</w:t>
      </w:r>
    </w:p>
    <w:p w14:paraId="733C04E1" w14:textId="39675B7B" w:rsidR="0079210E" w:rsidRPr="0079210E" w:rsidRDefault="002C28B5" w:rsidP="003A63CD">
      <w:pPr>
        <w:spacing w:after="100" w:afterAutospacing="1" w:line="276" w:lineRule="auto"/>
        <w:rPr>
          <w:rFonts w:eastAsia="Times New Roman" w:cs="Times New Roman"/>
        </w:rPr>
      </w:pPr>
      <w:r>
        <w:rPr>
          <w:rFonts w:ascii="Times" w:eastAsia="Times New Roman" w:hAnsi="Times" w:cs="Times New Roman"/>
        </w:rPr>
        <w:t xml:space="preserve">Anzi, con riferimento al </w:t>
      </w:r>
      <w:r w:rsidR="005F02F7">
        <w:rPr>
          <w:rFonts w:ascii="Times" w:eastAsia="Times New Roman" w:hAnsi="Times" w:cs="Times New Roman"/>
        </w:rPr>
        <w:t>reato</w:t>
      </w:r>
      <w:r w:rsidR="0014671B">
        <w:rPr>
          <w:rFonts w:ascii="Times" w:eastAsia="Times New Roman" w:hAnsi="Times" w:cs="Times New Roman"/>
        </w:rPr>
        <w:t>,</w:t>
      </w:r>
      <w:r>
        <w:rPr>
          <w:rFonts w:ascii="Times" w:eastAsia="Times New Roman" w:hAnsi="Times" w:cs="Times New Roman"/>
        </w:rPr>
        <w:t xml:space="preserve"> il limite negativo costituito dalle prassi assurge quasi ad</w:t>
      </w:r>
      <w:r w:rsidR="00F96770">
        <w:rPr>
          <w:rFonts w:ascii="Times" w:eastAsia="Times New Roman" w:hAnsi="Times" w:cs="Times New Roman"/>
        </w:rPr>
        <w:t xml:space="preserve"> una necessità interpretativa, </w:t>
      </w:r>
      <w:r>
        <w:rPr>
          <w:rFonts w:ascii="Times" w:eastAsia="Times New Roman" w:hAnsi="Times" w:cs="Times New Roman"/>
        </w:rPr>
        <w:t xml:space="preserve">essendo </w:t>
      </w:r>
      <w:r w:rsidR="005F02F7">
        <w:rPr>
          <w:rFonts w:ascii="Times" w:eastAsia="Times New Roman" w:hAnsi="Times" w:cs="Times New Roman"/>
        </w:rPr>
        <w:t>il delitto</w:t>
      </w:r>
      <w:r w:rsidR="00F96770">
        <w:rPr>
          <w:rFonts w:ascii="Times" w:eastAsia="Times New Roman" w:hAnsi="Times" w:cs="Times New Roman"/>
        </w:rPr>
        <w:t xml:space="preserve"> insufficientemente definito dal parametro degli artifici e dei suoi effetti. Le prassi legittime avranno così l’effetto </w:t>
      </w:r>
      <w:r>
        <w:rPr>
          <w:rFonts w:ascii="Times" w:eastAsia="Times New Roman" w:hAnsi="Times" w:cs="Times New Roman"/>
        </w:rPr>
        <w:t xml:space="preserve">collaterale e </w:t>
      </w:r>
      <w:r w:rsidR="00F96770">
        <w:rPr>
          <w:rFonts w:ascii="Times" w:eastAsia="Times New Roman" w:hAnsi="Times" w:cs="Times New Roman"/>
        </w:rPr>
        <w:t>benefico di tracciare un</w:t>
      </w:r>
      <w:r w:rsidR="005F02F7">
        <w:rPr>
          <w:rFonts w:ascii="Times" w:eastAsia="Times New Roman" w:hAnsi="Times" w:cs="Times New Roman"/>
        </w:rPr>
        <w:t xml:space="preserve"> primo</w:t>
      </w:r>
      <w:r w:rsidR="00F96770">
        <w:rPr>
          <w:rFonts w:ascii="Times" w:eastAsia="Times New Roman" w:hAnsi="Times" w:cs="Times New Roman"/>
        </w:rPr>
        <w:t xml:space="preserve"> confine, ancorché discontinuo, su quali siano le pratiche </w:t>
      </w:r>
      <w:r w:rsidR="005F02F7">
        <w:rPr>
          <w:rFonts w:ascii="Times" w:eastAsia="Times New Roman" w:hAnsi="Times" w:cs="Times New Roman"/>
        </w:rPr>
        <w:t>lecite sul</w:t>
      </w:r>
      <w:r w:rsidR="00E643D7" w:rsidRPr="0079210E">
        <w:rPr>
          <w:rFonts w:eastAsia="Times New Roman" w:cs="Times New Roman"/>
        </w:rPr>
        <w:t xml:space="preserve"> mercato, a tutto vantaggio per la certezza del diritto, questione quanto mai problematica nella fattispecie della manipolazione del mercato.</w:t>
      </w:r>
      <w:r w:rsidR="00F96770" w:rsidRPr="0079210E">
        <w:rPr>
          <w:rFonts w:eastAsia="Times New Roman" w:cs="Times New Roman"/>
        </w:rPr>
        <w:t xml:space="preserve"> </w:t>
      </w:r>
    </w:p>
    <w:p w14:paraId="58F84A66" w14:textId="06A69C14" w:rsidR="00F96770" w:rsidRDefault="00F96770" w:rsidP="003A63CD">
      <w:pPr>
        <w:autoSpaceDE w:val="0"/>
        <w:autoSpaceDN w:val="0"/>
        <w:adjustRightInd w:val="0"/>
        <w:spacing w:after="100" w:afterAutospacing="1" w:line="276" w:lineRule="auto"/>
        <w:rPr>
          <w:rFonts w:eastAsia="Times New Roman" w:cs="Times New Roman"/>
        </w:rPr>
      </w:pPr>
      <w:r w:rsidRPr="0079210E">
        <w:rPr>
          <w:rFonts w:eastAsia="Times New Roman" w:cs="Times New Roman"/>
        </w:rPr>
        <w:t xml:space="preserve">Tale </w:t>
      </w:r>
      <w:r w:rsidR="00E643D7" w:rsidRPr="0079210E">
        <w:rPr>
          <w:rFonts w:eastAsia="Times New Roman" w:cs="Times New Roman"/>
        </w:rPr>
        <w:t>considerazione</w:t>
      </w:r>
      <w:r w:rsidRPr="0079210E">
        <w:rPr>
          <w:rFonts w:eastAsia="Times New Roman" w:cs="Times New Roman"/>
        </w:rPr>
        <w:t xml:space="preserve"> potrà essere estes</w:t>
      </w:r>
      <w:r w:rsidR="00E643D7" w:rsidRPr="0079210E">
        <w:rPr>
          <w:rFonts w:eastAsia="Times New Roman" w:cs="Times New Roman"/>
        </w:rPr>
        <w:t>a</w:t>
      </w:r>
      <w:r w:rsidR="00F8528D">
        <w:rPr>
          <w:rFonts w:eastAsia="Times New Roman" w:cs="Times New Roman"/>
        </w:rPr>
        <w:t>,</w:t>
      </w:r>
      <w:r w:rsidRPr="0079210E">
        <w:rPr>
          <w:rFonts w:eastAsia="Times New Roman" w:cs="Times New Roman"/>
        </w:rPr>
        <w:t xml:space="preserve"> più in generale</w:t>
      </w:r>
      <w:r w:rsidR="00F8528D">
        <w:rPr>
          <w:rFonts w:eastAsia="Times New Roman" w:cs="Times New Roman"/>
        </w:rPr>
        <w:t>,</w:t>
      </w:r>
      <w:r w:rsidRPr="0079210E">
        <w:rPr>
          <w:rFonts w:eastAsia="Times New Roman" w:cs="Times New Roman"/>
        </w:rPr>
        <w:t xml:space="preserve"> ai rapporti tra illecito amministrativo ed illecito penale</w:t>
      </w:r>
      <w:r w:rsidR="00F8528D">
        <w:rPr>
          <w:rFonts w:eastAsia="Times New Roman" w:cs="Times New Roman"/>
        </w:rPr>
        <w:t>, al fine di rendere più pregnante la fattispecie penale e di selezionare soltanto le condotte meritevoli di pena</w:t>
      </w:r>
      <w:r w:rsidRPr="0079210E">
        <w:rPr>
          <w:rFonts w:eastAsia="Times New Roman" w:cs="Times New Roman"/>
        </w:rPr>
        <w:t>.</w:t>
      </w:r>
    </w:p>
    <w:p w14:paraId="40BE6B8E" w14:textId="7135011C" w:rsidR="00EA619B" w:rsidRPr="0079210E" w:rsidRDefault="00EA619B" w:rsidP="003A63CD">
      <w:pPr>
        <w:autoSpaceDE w:val="0"/>
        <w:autoSpaceDN w:val="0"/>
        <w:adjustRightInd w:val="0"/>
        <w:spacing w:after="100" w:afterAutospacing="1" w:line="276" w:lineRule="auto"/>
        <w:rPr>
          <w:rFonts w:cs="Times New Roman"/>
          <w:color w:val="231F20"/>
        </w:rPr>
      </w:pPr>
      <w:r>
        <w:rPr>
          <w:rFonts w:eastAsia="Times New Roman" w:cs="Times New Roman"/>
        </w:rPr>
        <w:t>Altra conseguenza rilevante, sotto il profilo penalistico, della configurazione della prassi come scriminante</w:t>
      </w:r>
      <w:r w:rsidR="0014671B">
        <w:rPr>
          <w:rFonts w:eastAsia="Times New Roman" w:cs="Times New Roman"/>
        </w:rPr>
        <w:t>,</w:t>
      </w:r>
      <w:r>
        <w:rPr>
          <w:rFonts w:eastAsia="Times New Roman" w:cs="Times New Roman"/>
        </w:rPr>
        <w:t xml:space="preserve"> ovvero come limite esegetico</w:t>
      </w:r>
      <w:r w:rsidR="0014671B">
        <w:rPr>
          <w:rFonts w:eastAsia="Times New Roman" w:cs="Times New Roman"/>
        </w:rPr>
        <w:t>,</w:t>
      </w:r>
      <w:r>
        <w:rPr>
          <w:rFonts w:eastAsia="Times New Roman" w:cs="Times New Roman"/>
        </w:rPr>
        <w:t xml:space="preserve"> sarà </w:t>
      </w:r>
      <w:r>
        <w:rPr>
          <w:rFonts w:cs="Times New Roman"/>
        </w:rPr>
        <w:t xml:space="preserve">l’eventuale formula con cui dovrebbe essere pronunciato il proscioglimento nel processo: alla causa di giustificazione segue una pronuncia di assoluzione perché il fatto non costituisce reato, mentre ove </w:t>
      </w:r>
      <w:r w:rsidR="0014671B">
        <w:rPr>
          <w:rFonts w:cs="Times New Roman"/>
        </w:rPr>
        <w:t>mancasse</w:t>
      </w:r>
      <w:r>
        <w:rPr>
          <w:rFonts w:cs="Times New Roman"/>
        </w:rPr>
        <w:t xml:space="preserve"> la tipicità</w:t>
      </w:r>
      <w:r w:rsidR="0014671B">
        <w:rPr>
          <w:rFonts w:cs="Times New Roman"/>
        </w:rPr>
        <w:t>,</w:t>
      </w:r>
      <w:r>
        <w:rPr>
          <w:rFonts w:cs="Times New Roman"/>
        </w:rPr>
        <w:t xml:space="preserve"> sarebbe dichiarata la non sussistenza del fatto</w:t>
      </w:r>
      <w:r>
        <w:rPr>
          <w:rStyle w:val="Rimandonotaapidipagina"/>
          <w:rFonts w:cs="Times New Roman"/>
        </w:rPr>
        <w:footnoteReference w:id="17"/>
      </w:r>
      <w:r w:rsidR="003A6C2E">
        <w:rPr>
          <w:rFonts w:cs="Times New Roman"/>
        </w:rPr>
        <w:t>.</w:t>
      </w:r>
    </w:p>
    <w:p w14:paraId="4B9D173B" w14:textId="77777777" w:rsidR="00BC1C38" w:rsidRDefault="0020036C" w:rsidP="003A63CD">
      <w:pPr>
        <w:spacing w:after="100" w:afterAutospacing="1" w:line="276" w:lineRule="auto"/>
        <w:rPr>
          <w:rFonts w:cs="Times New Roman"/>
        </w:rPr>
      </w:pPr>
      <w:r w:rsidRPr="0079210E">
        <w:rPr>
          <w:rFonts w:cs="Times New Roman"/>
        </w:rPr>
        <w:t xml:space="preserve">D’Alessandro </w:t>
      </w:r>
      <w:r w:rsidR="00B005E7" w:rsidRPr="0079210E">
        <w:rPr>
          <w:rFonts w:cs="Times New Roman"/>
        </w:rPr>
        <w:t xml:space="preserve">nota però che l’esclusione </w:t>
      </w:r>
      <w:r w:rsidR="000F6FF0" w:rsidRPr="0079210E">
        <w:rPr>
          <w:rFonts w:cs="Times New Roman"/>
        </w:rPr>
        <w:t>di una responsabilità amministrativa e penale fa</w:t>
      </w:r>
      <w:r w:rsidRPr="0079210E">
        <w:rPr>
          <w:rFonts w:cs="Times New Roman"/>
        </w:rPr>
        <w:t xml:space="preserve"> residua</w:t>
      </w:r>
      <w:r w:rsidR="000F6FF0" w:rsidRPr="0079210E">
        <w:rPr>
          <w:rFonts w:cs="Times New Roman"/>
        </w:rPr>
        <w:t>r</w:t>
      </w:r>
      <w:r w:rsidR="000F6FF0">
        <w:rPr>
          <w:rFonts w:cs="Times New Roman"/>
        </w:rPr>
        <w:t>e</w:t>
      </w:r>
      <w:r>
        <w:rPr>
          <w:rFonts w:cs="Times New Roman"/>
        </w:rPr>
        <w:t xml:space="preserve"> ancora la possibilità che vi sia un’antigiuridicità </w:t>
      </w:r>
      <w:r w:rsidR="00914D53">
        <w:rPr>
          <w:rFonts w:cs="Times New Roman"/>
        </w:rPr>
        <w:t>in sede civile</w:t>
      </w:r>
      <w:r w:rsidR="00E041B1">
        <w:rPr>
          <w:rStyle w:val="Rimandonotaapidipagina"/>
          <w:rFonts w:cs="Times New Roman"/>
        </w:rPr>
        <w:footnoteReference w:id="18"/>
      </w:r>
      <w:r>
        <w:rPr>
          <w:rFonts w:cs="Times New Roman"/>
        </w:rPr>
        <w:t>.</w:t>
      </w:r>
      <w:r w:rsidR="00914D53">
        <w:rPr>
          <w:rFonts w:cs="Times New Roman"/>
        </w:rPr>
        <w:t xml:space="preserve"> </w:t>
      </w:r>
    </w:p>
    <w:p w14:paraId="33855DE2" w14:textId="264A6C6A" w:rsidR="0020036C" w:rsidRDefault="00914D53" w:rsidP="003A63CD">
      <w:pPr>
        <w:spacing w:after="100" w:afterAutospacing="1" w:line="276" w:lineRule="auto"/>
        <w:rPr>
          <w:rFonts w:cs="Times New Roman"/>
        </w:rPr>
      </w:pPr>
      <w:r>
        <w:rPr>
          <w:rFonts w:cs="Times New Roman"/>
        </w:rPr>
        <w:t xml:space="preserve">A tal proposito si </w:t>
      </w:r>
      <w:r w:rsidR="002D40AC">
        <w:rPr>
          <w:rFonts w:cs="Times New Roman"/>
        </w:rPr>
        <w:t>dev</w:t>
      </w:r>
      <w:r w:rsidR="00BC1C38">
        <w:rPr>
          <w:rFonts w:cs="Times New Roman"/>
        </w:rPr>
        <w:t>e</w:t>
      </w:r>
      <w:r w:rsidR="002D40AC">
        <w:rPr>
          <w:rFonts w:cs="Times New Roman"/>
        </w:rPr>
        <w:t xml:space="preserve"> innanzitutto escludere </w:t>
      </w:r>
      <w:r w:rsidR="00BC1C38">
        <w:rPr>
          <w:rFonts w:cs="Times New Roman"/>
        </w:rPr>
        <w:t>la possibilità di accertare una</w:t>
      </w:r>
      <w:r w:rsidR="00700569">
        <w:rPr>
          <w:rFonts w:cs="Times New Roman"/>
        </w:rPr>
        <w:t xml:space="preserve"> responsabilità civil</w:t>
      </w:r>
      <w:r w:rsidR="00BC1C38">
        <w:rPr>
          <w:rFonts w:cs="Times New Roman"/>
        </w:rPr>
        <w:t>istica</w:t>
      </w:r>
      <w:r w:rsidR="00700569">
        <w:rPr>
          <w:rFonts w:cs="Times New Roman"/>
        </w:rPr>
        <w:t xml:space="preserve"> </w:t>
      </w:r>
      <w:r w:rsidR="00700569" w:rsidRPr="00700569">
        <w:rPr>
          <w:rFonts w:cs="Times New Roman"/>
          <w:i/>
        </w:rPr>
        <w:t>ex</w:t>
      </w:r>
      <w:r w:rsidR="00700569">
        <w:rPr>
          <w:rFonts w:cs="Times New Roman"/>
        </w:rPr>
        <w:t xml:space="preserve"> art. 185, secondo comma</w:t>
      </w:r>
      <w:r w:rsidR="0014671B">
        <w:rPr>
          <w:rFonts w:cs="Times New Roman"/>
        </w:rPr>
        <w:t xml:space="preserve"> del codice penale</w:t>
      </w:r>
      <w:r w:rsidR="00700569">
        <w:rPr>
          <w:rStyle w:val="Rimandonotaapidipagina"/>
          <w:rFonts w:cs="Times New Roman"/>
        </w:rPr>
        <w:footnoteReference w:id="19"/>
      </w:r>
      <w:r w:rsidR="00BC1C38">
        <w:rPr>
          <w:rFonts w:cs="Times New Roman"/>
        </w:rPr>
        <w:t xml:space="preserve"> per l’assenza del reato</w:t>
      </w:r>
      <w:r w:rsidR="00700569">
        <w:rPr>
          <w:rFonts w:cs="Times New Roman"/>
        </w:rPr>
        <w:t>. Dunque in tal</w:t>
      </w:r>
      <w:r w:rsidR="00BC1C38">
        <w:rPr>
          <w:rFonts w:cs="Times New Roman"/>
        </w:rPr>
        <w:t xml:space="preserve"> caso la CONSOB non sarà legittimata</w:t>
      </w:r>
      <w:r w:rsidR="00700569">
        <w:rPr>
          <w:rFonts w:cs="Times New Roman"/>
        </w:rPr>
        <w:t xml:space="preserve"> dal secondo comma dell’art. 187 </w:t>
      </w:r>
      <w:r w:rsidR="00700569" w:rsidRPr="00700569">
        <w:rPr>
          <w:rFonts w:cs="Times New Roman"/>
          <w:i/>
        </w:rPr>
        <w:t>undecies</w:t>
      </w:r>
      <w:r w:rsidR="00700569">
        <w:rPr>
          <w:rFonts w:cs="Times New Roman"/>
        </w:rPr>
        <w:t xml:space="preserve"> a chiedere alcun risarcimento per la lesione dell’integrità del mercato</w:t>
      </w:r>
      <w:r w:rsidR="00BC1C38">
        <w:rPr>
          <w:rFonts w:cs="Times New Roman"/>
        </w:rPr>
        <w:t xml:space="preserve"> derivante da reato</w:t>
      </w:r>
      <w:r w:rsidR="00700569">
        <w:rPr>
          <w:rFonts w:cs="Times New Roman"/>
        </w:rPr>
        <w:t xml:space="preserve">, </w:t>
      </w:r>
      <w:r w:rsidR="00BC1C38">
        <w:rPr>
          <w:rFonts w:cs="Times New Roman"/>
        </w:rPr>
        <w:t>che in effetti non ci sarà stato</w:t>
      </w:r>
      <w:r w:rsidR="00700569">
        <w:rPr>
          <w:rFonts w:cs="Times New Roman"/>
        </w:rPr>
        <w:t xml:space="preserve">. Similmente neanche </w:t>
      </w:r>
      <w:r w:rsidR="00B977CA">
        <w:rPr>
          <w:rFonts w:cs="Times New Roman"/>
        </w:rPr>
        <w:t>i risparmiatori lesi dalla prassi potranno costituirsi parte civile, ferma restando la possibilità di dimostrare il danno in sede civile.</w:t>
      </w:r>
    </w:p>
    <w:p w14:paraId="50E0DBAD" w14:textId="0716AA6E" w:rsidR="002D40AC" w:rsidRDefault="002D40AC" w:rsidP="003A63CD">
      <w:pPr>
        <w:spacing w:after="100" w:afterAutospacing="1" w:line="276" w:lineRule="auto"/>
        <w:rPr>
          <w:rFonts w:cs="Times New Roman"/>
        </w:rPr>
      </w:pPr>
      <w:r>
        <w:rPr>
          <w:rFonts w:cs="Times New Roman"/>
        </w:rPr>
        <w:t xml:space="preserve">La prassi legittima altresì nega la possibilità di una responsabilità amministrativa derivante da reato </w:t>
      </w:r>
      <w:r w:rsidRPr="002D40AC">
        <w:rPr>
          <w:rFonts w:cs="Times New Roman"/>
          <w:i/>
        </w:rPr>
        <w:t>ex</w:t>
      </w:r>
      <w:r>
        <w:rPr>
          <w:rFonts w:cs="Times New Roman"/>
        </w:rPr>
        <w:t xml:space="preserve"> d.lgs. 231 del 2001</w:t>
      </w:r>
      <w:r w:rsidR="009D1632">
        <w:rPr>
          <w:rFonts w:cs="Times New Roman"/>
        </w:rPr>
        <w:t>,</w:t>
      </w:r>
      <w:r>
        <w:rPr>
          <w:rFonts w:cs="Times New Roman"/>
        </w:rPr>
        <w:t xml:space="preserve"> poiché suo presupposto è</w:t>
      </w:r>
      <w:r w:rsidR="009D1632">
        <w:rPr>
          <w:rFonts w:cs="Times New Roman"/>
        </w:rPr>
        <w:t xml:space="preserve"> appunto</w:t>
      </w:r>
      <w:r>
        <w:rPr>
          <w:rFonts w:cs="Times New Roman"/>
        </w:rPr>
        <w:t xml:space="preserve"> la commissione di un reato a favore o nell’interesse dell’ente, il quale è stato escluso.</w:t>
      </w:r>
    </w:p>
    <w:p w14:paraId="17100701" w14:textId="17F0FA65" w:rsidR="00D6745C" w:rsidRDefault="009D1632" w:rsidP="003A63CD">
      <w:pPr>
        <w:spacing w:after="100" w:afterAutospacing="1" w:line="276" w:lineRule="auto"/>
        <w:rPr>
          <w:rFonts w:ascii="Times" w:eastAsia="Times New Roman" w:hAnsi="Times" w:cs="Times New Roman"/>
        </w:rPr>
      </w:pPr>
      <w:r>
        <w:rPr>
          <w:rFonts w:ascii="Times" w:eastAsia="Times New Roman" w:hAnsi="Times" w:cs="Times New Roman"/>
        </w:rPr>
        <w:t>La prassi</w:t>
      </w:r>
      <w:r w:rsidR="008C33E2">
        <w:rPr>
          <w:rFonts w:ascii="Times" w:eastAsia="Times New Roman" w:hAnsi="Times" w:cs="Times New Roman"/>
        </w:rPr>
        <w:t xml:space="preserve"> invece</w:t>
      </w:r>
      <w:r>
        <w:rPr>
          <w:rFonts w:ascii="Times" w:eastAsia="Times New Roman" w:hAnsi="Times" w:cs="Times New Roman"/>
        </w:rPr>
        <w:t xml:space="preserve"> appare, in punto di stretto diritto, </w:t>
      </w:r>
      <w:r w:rsidR="00B977CA">
        <w:rPr>
          <w:rFonts w:ascii="Times" w:eastAsia="Times New Roman" w:hAnsi="Times" w:cs="Times New Roman"/>
        </w:rPr>
        <w:t>neutra rispetto alla possibilità di accertare una responsabilità civilistica in sede civile</w:t>
      </w:r>
      <w:r w:rsidR="008C33E2">
        <w:rPr>
          <w:rFonts w:ascii="Times" w:eastAsia="Times New Roman" w:hAnsi="Times" w:cs="Times New Roman"/>
        </w:rPr>
        <w:t xml:space="preserve">. </w:t>
      </w:r>
      <w:r w:rsidR="00B46700">
        <w:rPr>
          <w:rFonts w:ascii="Times" w:eastAsia="Times New Roman" w:hAnsi="Times" w:cs="Times New Roman"/>
        </w:rPr>
        <w:t>La prassi infatti</w:t>
      </w:r>
      <w:r w:rsidR="00EF6FC6">
        <w:rPr>
          <w:rFonts w:ascii="Times" w:eastAsia="Times New Roman" w:hAnsi="Times" w:cs="Times New Roman"/>
        </w:rPr>
        <w:t xml:space="preserve"> risulta ammessa </w:t>
      </w:r>
      <w:r w:rsidR="008C33E2">
        <w:rPr>
          <w:rFonts w:ascii="Times" w:eastAsia="Times New Roman" w:hAnsi="Times" w:cs="Times New Roman"/>
        </w:rPr>
        <w:t xml:space="preserve">soltanto </w:t>
      </w:r>
      <w:r w:rsidR="00EF6FC6">
        <w:rPr>
          <w:rFonts w:ascii="Times" w:eastAsia="Times New Roman" w:hAnsi="Times" w:cs="Times New Roman"/>
        </w:rPr>
        <w:t>sotto un profilo pubblicistico</w:t>
      </w:r>
      <w:r w:rsidR="00B977CA">
        <w:rPr>
          <w:rFonts w:ascii="Times" w:eastAsia="Times New Roman" w:hAnsi="Times" w:cs="Times New Roman"/>
        </w:rPr>
        <w:t xml:space="preserve">, pertanto </w:t>
      </w:r>
      <w:r w:rsidR="008C33E2">
        <w:rPr>
          <w:rFonts w:ascii="Times" w:eastAsia="Times New Roman" w:hAnsi="Times" w:cs="Times New Roman"/>
        </w:rPr>
        <w:t>rimane la possibilità di dimostrazione della sussistenza di tutti gli elementi previsti dall’art. 2043 c.c.</w:t>
      </w:r>
      <w:r w:rsidR="008C33E2">
        <w:rPr>
          <w:rStyle w:val="Rimandonotaapidipagina"/>
          <w:rFonts w:ascii="Times" w:eastAsia="Times New Roman" w:hAnsi="Times" w:cs="Times New Roman"/>
        </w:rPr>
        <w:footnoteReference w:id="20"/>
      </w:r>
      <w:r w:rsidR="008C33E2">
        <w:rPr>
          <w:rFonts w:ascii="Times" w:eastAsia="Times New Roman" w:hAnsi="Times" w:cs="Times New Roman"/>
        </w:rPr>
        <w:t xml:space="preserve"> come conseguenza dell’attuazione della prassi quale </w:t>
      </w:r>
      <w:r w:rsidR="00B977CA">
        <w:rPr>
          <w:rFonts w:ascii="Times" w:eastAsia="Times New Roman" w:hAnsi="Times" w:cs="Times New Roman"/>
        </w:rPr>
        <w:t>presupposto d</w:t>
      </w:r>
      <w:r w:rsidR="008C33E2">
        <w:rPr>
          <w:rFonts w:ascii="Times" w:eastAsia="Times New Roman" w:hAnsi="Times" w:cs="Times New Roman"/>
        </w:rPr>
        <w:t>i un eventuale risarcimento</w:t>
      </w:r>
      <w:r w:rsidR="00B977CA">
        <w:rPr>
          <w:rFonts w:ascii="Times" w:eastAsia="Times New Roman" w:hAnsi="Times" w:cs="Times New Roman"/>
        </w:rPr>
        <w:t>.</w:t>
      </w:r>
      <w:r w:rsidR="00FF4B44">
        <w:rPr>
          <w:rFonts w:ascii="Times" w:eastAsia="Times New Roman" w:hAnsi="Times" w:cs="Times New Roman"/>
        </w:rPr>
        <w:t xml:space="preserve"> </w:t>
      </w:r>
      <w:r w:rsidR="00D6745C">
        <w:rPr>
          <w:rFonts w:ascii="Times" w:eastAsia="Times New Roman" w:hAnsi="Times" w:cs="Times New Roman"/>
        </w:rPr>
        <w:t xml:space="preserve">Non essendo questa la sede per una </w:t>
      </w:r>
      <w:r w:rsidR="00B31C3E">
        <w:rPr>
          <w:rFonts w:ascii="Times" w:eastAsia="Times New Roman" w:hAnsi="Times" w:cs="Times New Roman"/>
        </w:rPr>
        <w:t>analisi</w:t>
      </w:r>
      <w:r w:rsidR="00D6745C">
        <w:rPr>
          <w:rFonts w:ascii="Times" w:eastAsia="Times New Roman" w:hAnsi="Times" w:cs="Times New Roman"/>
        </w:rPr>
        <w:t xml:space="preserve"> della risarcibilità del danno prodotto nei mercati finanziari, </w:t>
      </w:r>
      <w:r>
        <w:rPr>
          <w:rFonts w:ascii="Times" w:eastAsia="Times New Roman" w:hAnsi="Times" w:cs="Times New Roman"/>
        </w:rPr>
        <w:t>ci si limiterà a</w:t>
      </w:r>
      <w:r w:rsidR="00D6745C">
        <w:rPr>
          <w:rFonts w:ascii="Times" w:eastAsia="Times New Roman" w:hAnsi="Times" w:cs="Times New Roman"/>
        </w:rPr>
        <w:t xml:space="preserve"> delle brevi considerazioni</w:t>
      </w:r>
      <w:r>
        <w:rPr>
          <w:rFonts w:ascii="Times" w:eastAsia="Times New Roman" w:hAnsi="Times" w:cs="Times New Roman"/>
        </w:rPr>
        <w:t xml:space="preserve"> al fine di completare il quadro generale</w:t>
      </w:r>
      <w:r w:rsidR="00D6745C">
        <w:rPr>
          <w:rFonts w:ascii="Times" w:eastAsia="Times New Roman" w:hAnsi="Times" w:cs="Times New Roman"/>
        </w:rPr>
        <w:t xml:space="preserve">. </w:t>
      </w:r>
    </w:p>
    <w:p w14:paraId="48AD3579" w14:textId="3F2F8184" w:rsidR="00B977CA" w:rsidRDefault="00D6745C" w:rsidP="003A63CD">
      <w:pPr>
        <w:spacing w:after="100" w:afterAutospacing="1" w:line="276" w:lineRule="auto"/>
        <w:rPr>
          <w:rFonts w:ascii="Times" w:eastAsia="Times New Roman" w:hAnsi="Times" w:cs="Times New Roman"/>
        </w:rPr>
      </w:pPr>
      <w:r>
        <w:rPr>
          <w:rFonts w:ascii="Times" w:eastAsia="Times New Roman" w:hAnsi="Times" w:cs="Times New Roman"/>
        </w:rPr>
        <w:t>Innanzitutto, è</w:t>
      </w:r>
      <w:r w:rsidR="00FF4B44">
        <w:rPr>
          <w:rFonts w:ascii="Times" w:eastAsia="Times New Roman" w:hAnsi="Times" w:cs="Times New Roman"/>
        </w:rPr>
        <w:t xml:space="preserve"> facile ravvisare l’elemento del danno nel pregiudizio al valore dello strumento finanziario a seguito dell’attuazione della prassi ammessa, </w:t>
      </w:r>
      <w:r w:rsidR="00D27C1F">
        <w:rPr>
          <w:rFonts w:ascii="Times" w:eastAsia="Times New Roman" w:hAnsi="Times" w:cs="Times New Roman"/>
        </w:rPr>
        <w:t xml:space="preserve">così </w:t>
      </w:r>
      <w:r w:rsidR="00FF4B44">
        <w:rPr>
          <w:rFonts w:ascii="Times" w:eastAsia="Times New Roman" w:hAnsi="Times" w:cs="Times New Roman"/>
        </w:rPr>
        <w:t xml:space="preserve">come si potrà riscontrare il rapporto di causalità tra condotta e pregiudizio </w:t>
      </w:r>
      <w:r w:rsidR="005002CA">
        <w:rPr>
          <w:rFonts w:ascii="Times" w:eastAsia="Times New Roman" w:hAnsi="Times" w:cs="Times New Roman"/>
        </w:rPr>
        <w:t>con gli accorgimenti richiesti dalla specificità dei rapporti causali sul mercato finanziario</w:t>
      </w:r>
      <w:r w:rsidR="005002CA">
        <w:rPr>
          <w:rStyle w:val="Rimandonotaapidipagina"/>
          <w:rFonts w:ascii="Times" w:eastAsia="Times New Roman" w:hAnsi="Times" w:cs="Times New Roman"/>
        </w:rPr>
        <w:footnoteReference w:id="21"/>
      </w:r>
      <w:r w:rsidR="005002CA">
        <w:rPr>
          <w:rFonts w:ascii="Times" w:eastAsia="Times New Roman" w:hAnsi="Times" w:cs="Times New Roman"/>
        </w:rPr>
        <w:t>.</w:t>
      </w:r>
      <w:r w:rsidR="00FF4B44">
        <w:rPr>
          <w:rFonts w:ascii="Times" w:eastAsia="Times New Roman" w:hAnsi="Times" w:cs="Times New Roman"/>
        </w:rPr>
        <w:t xml:space="preserve"> </w:t>
      </w:r>
      <w:r w:rsidR="00C07724">
        <w:rPr>
          <w:rFonts w:ascii="Times" w:eastAsia="Times New Roman" w:hAnsi="Times" w:cs="Times New Roman"/>
        </w:rPr>
        <w:t>A tal proposito, si deve rilevare come non</w:t>
      </w:r>
      <w:r w:rsidR="00B46700">
        <w:rPr>
          <w:rFonts w:ascii="Times" w:eastAsia="Times New Roman" w:hAnsi="Times" w:cs="Times New Roman"/>
        </w:rPr>
        <w:t xml:space="preserve"> vi sarebbe alcun danno quando</w:t>
      </w:r>
      <w:r w:rsidR="00C07724">
        <w:rPr>
          <w:rFonts w:ascii="Times" w:eastAsia="Times New Roman" w:hAnsi="Times" w:cs="Times New Roman"/>
        </w:rPr>
        <w:t xml:space="preserve"> il prezzo degli strumenti finanziari a seguito della prassi legittima</w:t>
      </w:r>
      <w:r w:rsidR="00B31C3E">
        <w:rPr>
          <w:rFonts w:ascii="Times" w:eastAsia="Times New Roman" w:hAnsi="Times" w:cs="Times New Roman"/>
        </w:rPr>
        <w:t xml:space="preserve"> sia stato rivalutato, con conseguente arricchimento (non impoverimento) del possessore</w:t>
      </w:r>
      <w:r w:rsidR="00C07724">
        <w:rPr>
          <w:rFonts w:ascii="Times" w:eastAsia="Times New Roman" w:hAnsi="Times" w:cs="Times New Roman"/>
        </w:rPr>
        <w:t>.</w:t>
      </w:r>
    </w:p>
    <w:p w14:paraId="6CBF6534" w14:textId="0CABD2F4" w:rsidR="00E041B1" w:rsidRDefault="00D74D07" w:rsidP="00A73923">
      <w:pPr>
        <w:spacing w:after="100" w:afterAutospacing="1" w:line="276" w:lineRule="auto"/>
        <w:rPr>
          <w:rFonts w:ascii="Times" w:eastAsia="Times New Roman" w:hAnsi="Times" w:cs="Times New Roman"/>
        </w:rPr>
      </w:pPr>
      <w:r>
        <w:rPr>
          <w:rFonts w:ascii="Times" w:eastAsia="Times New Roman" w:hAnsi="Times" w:cs="Times New Roman"/>
        </w:rPr>
        <w:t xml:space="preserve">L’elemento dirimente sarà </w:t>
      </w:r>
      <w:r w:rsidR="00D6745C">
        <w:rPr>
          <w:rFonts w:ascii="Times" w:eastAsia="Times New Roman" w:hAnsi="Times" w:cs="Times New Roman"/>
        </w:rPr>
        <w:t>invece</w:t>
      </w:r>
      <w:r>
        <w:rPr>
          <w:rFonts w:ascii="Times" w:eastAsia="Times New Roman" w:hAnsi="Times" w:cs="Times New Roman"/>
        </w:rPr>
        <w:t xml:space="preserve"> l’ingiustizia del danno, </w:t>
      </w:r>
      <w:r w:rsidR="00D6745C">
        <w:rPr>
          <w:rFonts w:ascii="Times" w:eastAsia="Times New Roman" w:hAnsi="Times" w:cs="Times New Roman"/>
        </w:rPr>
        <w:t>espressione</w:t>
      </w:r>
      <w:r>
        <w:rPr>
          <w:rFonts w:ascii="Times" w:eastAsia="Times New Roman" w:hAnsi="Times" w:cs="Times New Roman"/>
        </w:rPr>
        <w:t xml:space="preserve"> codicistica dell’antigiuridicità civile</w:t>
      </w:r>
      <w:r w:rsidR="00E041B1">
        <w:rPr>
          <w:rFonts w:ascii="Times" w:eastAsia="Times New Roman" w:hAnsi="Times" w:cs="Times New Roman"/>
        </w:rPr>
        <w:t>, che richiede che il danno subito rientri tra i fini di tutela dell’ordinamento</w:t>
      </w:r>
      <w:r w:rsidR="00B73F7B">
        <w:rPr>
          <w:rStyle w:val="Rimandonotaapidipagina"/>
          <w:rFonts w:ascii="Times" w:eastAsia="Times New Roman" w:hAnsi="Times" w:cs="Times New Roman"/>
        </w:rPr>
        <w:footnoteReference w:id="22"/>
      </w:r>
      <w:r w:rsidR="00E041B1">
        <w:rPr>
          <w:rFonts w:ascii="Times" w:eastAsia="Times New Roman" w:hAnsi="Times" w:cs="Times New Roman"/>
        </w:rPr>
        <w:t xml:space="preserve">. </w:t>
      </w:r>
      <w:r w:rsidR="007E1DDA">
        <w:rPr>
          <w:rFonts w:ascii="Times" w:eastAsia="Times New Roman" w:hAnsi="Times" w:cs="Times New Roman"/>
        </w:rPr>
        <w:t>In via strettamente teorica si potrebbe sostenere la risarcibilità del danno, poiché si è visto che la prassi legittima può comportare un’alterazione del prezzo degli strumenti finanziari.</w:t>
      </w:r>
      <w:r w:rsidR="00A73923">
        <w:rPr>
          <w:rFonts w:ascii="Times" w:eastAsia="Times New Roman" w:hAnsi="Times" w:cs="Times New Roman"/>
        </w:rPr>
        <w:t xml:space="preserve"> Si</w:t>
      </w:r>
      <w:r w:rsidR="00E041B1">
        <w:rPr>
          <w:rFonts w:ascii="Times" w:eastAsia="Times New Roman" w:hAnsi="Times" w:cs="Times New Roman"/>
        </w:rPr>
        <w:t xml:space="preserve"> </w:t>
      </w:r>
      <w:r w:rsidR="00C07724">
        <w:rPr>
          <w:rFonts w:ascii="Times" w:eastAsia="Times New Roman" w:hAnsi="Times" w:cs="Times New Roman"/>
        </w:rPr>
        <w:t>può</w:t>
      </w:r>
      <w:r w:rsidR="00E041B1">
        <w:rPr>
          <w:rFonts w:ascii="Times" w:eastAsia="Times New Roman" w:hAnsi="Times" w:cs="Times New Roman"/>
        </w:rPr>
        <w:t xml:space="preserve"> </w:t>
      </w:r>
      <w:r w:rsidR="00A73923">
        <w:rPr>
          <w:rFonts w:ascii="Times" w:eastAsia="Times New Roman" w:hAnsi="Times" w:cs="Times New Roman"/>
        </w:rPr>
        <w:t xml:space="preserve">ipotizzare, infatti, </w:t>
      </w:r>
      <w:r w:rsidR="00E041B1">
        <w:rPr>
          <w:rFonts w:ascii="Times" w:eastAsia="Times New Roman" w:hAnsi="Times" w:cs="Times New Roman"/>
        </w:rPr>
        <w:t xml:space="preserve">che la loro attuazione comporti una perdita di </w:t>
      </w:r>
      <w:r w:rsidR="00C07724">
        <w:rPr>
          <w:rFonts w:ascii="Times" w:eastAsia="Times New Roman" w:hAnsi="Times" w:cs="Times New Roman"/>
        </w:rPr>
        <w:t>opportunità</w:t>
      </w:r>
      <w:r w:rsidR="00E041B1">
        <w:rPr>
          <w:rFonts w:ascii="Times" w:eastAsia="Times New Roman" w:hAnsi="Times" w:cs="Times New Roman"/>
        </w:rPr>
        <w:t xml:space="preserve"> di rag</w:t>
      </w:r>
      <w:r w:rsidR="002A7034">
        <w:rPr>
          <w:rFonts w:ascii="Times" w:eastAsia="Times New Roman" w:hAnsi="Times" w:cs="Times New Roman"/>
        </w:rPr>
        <w:t>giungere un risultato migliore</w:t>
      </w:r>
      <w:r w:rsidR="00E041B1">
        <w:rPr>
          <w:rFonts w:ascii="Times" w:eastAsia="Times New Roman" w:hAnsi="Times" w:cs="Times New Roman"/>
        </w:rPr>
        <w:t>,</w:t>
      </w:r>
      <w:r w:rsidR="002A7034">
        <w:rPr>
          <w:rFonts w:ascii="Times" w:eastAsia="Times New Roman" w:hAnsi="Times" w:cs="Times New Roman"/>
        </w:rPr>
        <w:t xml:space="preserve"> rispetto</w:t>
      </w:r>
      <w:r w:rsidR="00E041B1">
        <w:rPr>
          <w:rFonts w:ascii="Times" w:eastAsia="Times New Roman" w:hAnsi="Times" w:cs="Times New Roman"/>
        </w:rPr>
        <w:t xml:space="preserve"> a quello</w:t>
      </w:r>
      <w:r w:rsidR="002A7034">
        <w:rPr>
          <w:rFonts w:ascii="Times" w:eastAsia="Times New Roman" w:hAnsi="Times" w:cs="Times New Roman"/>
        </w:rPr>
        <w:t xml:space="preserve"> effettivamente</w:t>
      </w:r>
      <w:r w:rsidR="00E041B1">
        <w:rPr>
          <w:rFonts w:ascii="Times" w:eastAsia="Times New Roman" w:hAnsi="Times" w:cs="Times New Roman"/>
        </w:rPr>
        <w:t xml:space="preserve"> </w:t>
      </w:r>
      <w:r w:rsidR="00C07724">
        <w:rPr>
          <w:rFonts w:ascii="Times" w:eastAsia="Times New Roman" w:hAnsi="Times" w:cs="Times New Roman"/>
        </w:rPr>
        <w:t>conseguito</w:t>
      </w:r>
      <w:r w:rsidR="00E041B1">
        <w:rPr>
          <w:rFonts w:ascii="Times" w:eastAsia="Times New Roman" w:hAnsi="Times" w:cs="Times New Roman"/>
        </w:rPr>
        <w:t xml:space="preserve"> </w:t>
      </w:r>
      <w:r w:rsidR="002A7034">
        <w:rPr>
          <w:rFonts w:ascii="Times" w:eastAsia="Times New Roman" w:hAnsi="Times" w:cs="Times New Roman"/>
        </w:rPr>
        <w:t>operando secondo i criteri</w:t>
      </w:r>
      <w:r w:rsidR="00E041B1">
        <w:rPr>
          <w:rFonts w:ascii="Times" w:eastAsia="Times New Roman" w:hAnsi="Times" w:cs="Times New Roman"/>
        </w:rPr>
        <w:t xml:space="preserve"> della prassi legittima.</w:t>
      </w:r>
    </w:p>
    <w:p w14:paraId="4D0914EA" w14:textId="76A8CC5E" w:rsidR="00EA13EC" w:rsidRDefault="00F96770" w:rsidP="003A63CD">
      <w:pPr>
        <w:spacing w:after="100" w:afterAutospacing="1" w:line="276" w:lineRule="auto"/>
        <w:rPr>
          <w:rFonts w:ascii="Times" w:eastAsia="Times New Roman" w:hAnsi="Times" w:cs="Times New Roman"/>
        </w:rPr>
      </w:pPr>
      <w:r>
        <w:rPr>
          <w:rFonts w:ascii="Times" w:eastAsia="Times New Roman" w:hAnsi="Times" w:cs="Times New Roman"/>
        </w:rPr>
        <w:t>Considerando</w:t>
      </w:r>
      <w:r w:rsidR="001505CB">
        <w:rPr>
          <w:rFonts w:ascii="Times" w:eastAsia="Times New Roman" w:hAnsi="Times" w:cs="Times New Roman"/>
        </w:rPr>
        <w:t xml:space="preserve"> </w:t>
      </w:r>
      <w:r w:rsidR="005A53EB">
        <w:rPr>
          <w:rFonts w:ascii="Times" w:eastAsia="Times New Roman" w:hAnsi="Times" w:cs="Times New Roman"/>
        </w:rPr>
        <w:t>anche</w:t>
      </w:r>
      <w:r w:rsidR="001505CB">
        <w:rPr>
          <w:rFonts w:ascii="Times" w:eastAsia="Times New Roman" w:hAnsi="Times" w:cs="Times New Roman"/>
        </w:rPr>
        <w:t xml:space="preserve"> i requisiti per </w:t>
      </w:r>
      <w:r w:rsidR="00EF6FC6">
        <w:rPr>
          <w:rFonts w:ascii="Times" w:eastAsia="Times New Roman" w:hAnsi="Times" w:cs="Times New Roman"/>
        </w:rPr>
        <w:t>l</w:t>
      </w:r>
      <w:r w:rsidR="001505CB">
        <w:rPr>
          <w:rFonts w:ascii="Times" w:eastAsia="Times New Roman" w:hAnsi="Times" w:cs="Times New Roman"/>
        </w:rPr>
        <w:t>’ammissione della</w:t>
      </w:r>
      <w:r w:rsidR="00EF6FC6">
        <w:rPr>
          <w:rFonts w:ascii="Times" w:eastAsia="Times New Roman" w:hAnsi="Times" w:cs="Times New Roman"/>
        </w:rPr>
        <w:t xml:space="preserve"> prassi</w:t>
      </w:r>
      <w:r>
        <w:rPr>
          <w:rFonts w:ascii="Times" w:eastAsia="Times New Roman" w:hAnsi="Times" w:cs="Times New Roman"/>
        </w:rPr>
        <w:t>,</w:t>
      </w:r>
      <w:r w:rsidR="00EF6FC6">
        <w:rPr>
          <w:rFonts w:ascii="Times" w:eastAsia="Times New Roman" w:hAnsi="Times" w:cs="Times New Roman"/>
        </w:rPr>
        <w:t xml:space="preserve"> </w:t>
      </w:r>
      <w:r>
        <w:rPr>
          <w:rFonts w:ascii="Times" w:eastAsia="Times New Roman" w:hAnsi="Times" w:cs="Times New Roman"/>
        </w:rPr>
        <w:t xml:space="preserve">si può notare come la valutazione </w:t>
      </w:r>
      <w:r w:rsidR="00A73923">
        <w:rPr>
          <w:rFonts w:ascii="Times" w:eastAsia="Times New Roman" w:hAnsi="Times" w:cs="Times New Roman"/>
        </w:rPr>
        <w:t xml:space="preserve">dell’ingiustizia del danno </w:t>
      </w:r>
      <w:r>
        <w:rPr>
          <w:rFonts w:ascii="Times" w:eastAsia="Times New Roman" w:hAnsi="Times" w:cs="Times New Roman"/>
        </w:rPr>
        <w:t xml:space="preserve">debba </w:t>
      </w:r>
      <w:r w:rsidR="00A73923">
        <w:rPr>
          <w:rFonts w:ascii="Times" w:eastAsia="Times New Roman" w:hAnsi="Times" w:cs="Times New Roman"/>
        </w:rPr>
        <w:t>vertere su</w:t>
      </w:r>
      <w:r>
        <w:rPr>
          <w:rFonts w:ascii="Times" w:eastAsia="Times New Roman" w:hAnsi="Times" w:cs="Times New Roman"/>
        </w:rPr>
        <w:t xml:space="preserve">lla </w:t>
      </w:r>
      <w:r w:rsidR="00883918">
        <w:rPr>
          <w:rFonts w:ascii="Times" w:eastAsia="Times New Roman" w:hAnsi="Times" w:cs="Times New Roman"/>
        </w:rPr>
        <w:t>considerazione che</w:t>
      </w:r>
      <w:r w:rsidR="005A53EB">
        <w:rPr>
          <w:rFonts w:ascii="Times" w:eastAsia="Times New Roman" w:hAnsi="Times" w:cs="Times New Roman"/>
        </w:rPr>
        <w:t xml:space="preserve"> </w:t>
      </w:r>
      <w:r>
        <w:rPr>
          <w:rFonts w:ascii="Times" w:eastAsia="Times New Roman" w:hAnsi="Times" w:cs="Times New Roman"/>
        </w:rPr>
        <w:t>tale alterazione</w:t>
      </w:r>
      <w:r w:rsidR="005A53EB">
        <w:rPr>
          <w:rFonts w:ascii="Times" w:eastAsia="Times New Roman" w:hAnsi="Times" w:cs="Times New Roman"/>
        </w:rPr>
        <w:t xml:space="preserve"> </w:t>
      </w:r>
      <w:r w:rsidR="00883918">
        <w:rPr>
          <w:rFonts w:ascii="Times" w:eastAsia="Times New Roman" w:hAnsi="Times" w:cs="Times New Roman"/>
        </w:rPr>
        <w:t>r</w:t>
      </w:r>
      <w:r w:rsidR="00EF6FC6">
        <w:rPr>
          <w:rFonts w:ascii="Times" w:eastAsia="Times New Roman" w:hAnsi="Times" w:cs="Times New Roman"/>
        </w:rPr>
        <w:t>ientr</w:t>
      </w:r>
      <w:r w:rsidR="00883918">
        <w:rPr>
          <w:rFonts w:ascii="Times" w:eastAsia="Times New Roman" w:hAnsi="Times" w:cs="Times New Roman"/>
        </w:rPr>
        <w:t>i</w:t>
      </w:r>
      <w:r w:rsidR="00EF6FC6">
        <w:rPr>
          <w:rFonts w:ascii="Times" w:eastAsia="Times New Roman" w:hAnsi="Times" w:cs="Times New Roman"/>
        </w:rPr>
        <w:t xml:space="preserve"> nell’alea del mercato</w:t>
      </w:r>
      <w:r w:rsidR="005A53EB">
        <w:rPr>
          <w:rFonts w:ascii="Times" w:eastAsia="Times New Roman" w:hAnsi="Times" w:cs="Times New Roman"/>
        </w:rPr>
        <w:t>,</w:t>
      </w:r>
      <w:r w:rsidR="00EF6FC6">
        <w:rPr>
          <w:rFonts w:ascii="Times" w:eastAsia="Times New Roman" w:hAnsi="Times" w:cs="Times New Roman"/>
        </w:rPr>
        <w:t xml:space="preserve"> ovve</w:t>
      </w:r>
      <w:r>
        <w:rPr>
          <w:rFonts w:ascii="Times" w:eastAsia="Times New Roman" w:hAnsi="Times" w:cs="Times New Roman"/>
        </w:rPr>
        <w:t>ro possa c</w:t>
      </w:r>
      <w:r w:rsidR="00EA13EC">
        <w:rPr>
          <w:rFonts w:ascii="Times" w:eastAsia="Times New Roman" w:hAnsi="Times" w:cs="Times New Roman"/>
        </w:rPr>
        <w:t>onfigurarsi quale</w:t>
      </w:r>
      <w:r w:rsidR="00EF6FC6">
        <w:rPr>
          <w:rFonts w:ascii="Times" w:eastAsia="Times New Roman" w:hAnsi="Times" w:cs="Times New Roman"/>
        </w:rPr>
        <w:t xml:space="preserve"> rischio</w:t>
      </w:r>
      <w:r>
        <w:rPr>
          <w:rFonts w:ascii="Times" w:eastAsia="Times New Roman" w:hAnsi="Times" w:cs="Times New Roman"/>
        </w:rPr>
        <w:t xml:space="preserve"> non</w:t>
      </w:r>
      <w:r w:rsidR="00EF6FC6">
        <w:rPr>
          <w:rFonts w:ascii="Times" w:eastAsia="Times New Roman" w:hAnsi="Times" w:cs="Times New Roman"/>
        </w:rPr>
        <w:t xml:space="preserve"> accettato</w:t>
      </w:r>
      <w:r w:rsidR="00EA13EC">
        <w:rPr>
          <w:rFonts w:ascii="Times" w:eastAsia="Times New Roman" w:hAnsi="Times" w:cs="Times New Roman"/>
        </w:rPr>
        <w:t xml:space="preserve"> dall’investitore danneggiato</w:t>
      </w:r>
      <w:r w:rsidR="00883918">
        <w:rPr>
          <w:rFonts w:ascii="Times" w:eastAsia="Times New Roman" w:hAnsi="Times" w:cs="Times New Roman"/>
        </w:rPr>
        <w:t>.</w:t>
      </w:r>
    </w:p>
    <w:p w14:paraId="591073A5" w14:textId="46BC79B2" w:rsidR="00FF4B44" w:rsidRDefault="00EA13EC" w:rsidP="003A63CD">
      <w:pPr>
        <w:spacing w:after="100" w:afterAutospacing="1" w:line="276" w:lineRule="auto"/>
        <w:rPr>
          <w:rFonts w:ascii="Times" w:eastAsia="Times New Roman" w:hAnsi="Times" w:cs="Times New Roman"/>
        </w:rPr>
      </w:pPr>
      <w:r>
        <w:rPr>
          <w:rFonts w:ascii="Times" w:eastAsia="Times New Roman" w:hAnsi="Times" w:cs="Times New Roman"/>
        </w:rPr>
        <w:t>Si devono così tener conto</w:t>
      </w:r>
      <w:r w:rsidR="00F96770">
        <w:rPr>
          <w:rFonts w:ascii="Times" w:eastAsia="Times New Roman" w:hAnsi="Times" w:cs="Times New Roman"/>
        </w:rPr>
        <w:t xml:space="preserve"> i criteri </w:t>
      </w:r>
      <w:r w:rsidR="00E643D7">
        <w:rPr>
          <w:rFonts w:ascii="Times" w:eastAsia="Times New Roman" w:hAnsi="Times" w:cs="Times New Roman"/>
        </w:rPr>
        <w:t xml:space="preserve">di cui all’art. 40 del Regolamento Mercati. In particolare si </w:t>
      </w:r>
      <w:r>
        <w:rPr>
          <w:rFonts w:ascii="Times" w:eastAsia="Times New Roman" w:hAnsi="Times" w:cs="Times New Roman"/>
        </w:rPr>
        <w:t>ricorda</w:t>
      </w:r>
      <w:r w:rsidR="00E643D7">
        <w:rPr>
          <w:rFonts w:ascii="Times" w:eastAsia="Times New Roman" w:hAnsi="Times" w:cs="Times New Roman"/>
        </w:rPr>
        <w:t xml:space="preserve"> come la lett. a)</w:t>
      </w:r>
      <w:r>
        <w:rPr>
          <w:rFonts w:ascii="Times" w:eastAsia="Times New Roman" w:hAnsi="Times" w:cs="Times New Roman"/>
        </w:rPr>
        <w:t xml:space="preserve"> di tale articolo</w:t>
      </w:r>
      <w:r w:rsidR="00E643D7">
        <w:rPr>
          <w:rFonts w:ascii="Times" w:eastAsia="Times New Roman" w:hAnsi="Times" w:cs="Times New Roman"/>
        </w:rPr>
        <w:t xml:space="preserve"> prescriva alla CONSOB</w:t>
      </w:r>
      <w:r w:rsidR="00E643D7">
        <w:rPr>
          <w:rStyle w:val="Rimandonotaapidipagina"/>
          <w:rFonts w:ascii="Times" w:eastAsia="Times New Roman" w:hAnsi="Times" w:cs="Times New Roman"/>
        </w:rPr>
        <w:footnoteReference w:id="23"/>
      </w:r>
      <w:r w:rsidR="00E643D7">
        <w:rPr>
          <w:rFonts w:ascii="Times" w:eastAsia="Times New Roman" w:hAnsi="Times" w:cs="Times New Roman"/>
        </w:rPr>
        <w:t xml:space="preserve"> di considerare la traspa</w:t>
      </w:r>
      <w:r>
        <w:rPr>
          <w:rFonts w:ascii="Times" w:eastAsia="Times New Roman" w:hAnsi="Times" w:cs="Times New Roman"/>
        </w:rPr>
        <w:t>renza della prassi da ammettere</w:t>
      </w:r>
      <w:r w:rsidR="000557CD">
        <w:rPr>
          <w:rStyle w:val="Rimandonotaapidipagina"/>
          <w:rFonts w:ascii="Times" w:eastAsia="Times New Roman" w:hAnsi="Times" w:cs="Times New Roman"/>
        </w:rPr>
        <w:footnoteReference w:id="24"/>
      </w:r>
      <w:r>
        <w:rPr>
          <w:rFonts w:ascii="Times" w:eastAsia="Times New Roman" w:hAnsi="Times" w:cs="Times New Roman"/>
        </w:rPr>
        <w:t>. Ciò ha</w:t>
      </w:r>
      <w:r w:rsidR="00E643D7">
        <w:rPr>
          <w:rFonts w:ascii="Times" w:eastAsia="Times New Roman" w:hAnsi="Times" w:cs="Times New Roman"/>
        </w:rPr>
        <w:t xml:space="preserve"> comportato, almeno in Italia, che</w:t>
      </w:r>
      <w:r w:rsidR="0054476B">
        <w:rPr>
          <w:rFonts w:ascii="Times" w:eastAsia="Times New Roman" w:hAnsi="Times" w:cs="Times New Roman"/>
        </w:rPr>
        <w:t xml:space="preserve"> l’attuazione di </w:t>
      </w:r>
      <w:r w:rsidR="00E643D7">
        <w:rPr>
          <w:rFonts w:ascii="Times" w:eastAsia="Times New Roman" w:hAnsi="Times" w:cs="Times New Roman"/>
        </w:rPr>
        <w:t xml:space="preserve">ogni prassi legittima </w:t>
      </w:r>
      <w:r>
        <w:rPr>
          <w:rFonts w:ascii="Times" w:eastAsia="Times New Roman" w:hAnsi="Times" w:cs="Times New Roman"/>
        </w:rPr>
        <w:t>sia stata</w:t>
      </w:r>
      <w:r w:rsidR="00E643D7">
        <w:rPr>
          <w:rFonts w:ascii="Times" w:eastAsia="Times New Roman" w:hAnsi="Times" w:cs="Times New Roman"/>
        </w:rPr>
        <w:t xml:space="preserve"> </w:t>
      </w:r>
      <w:r w:rsidR="0054476B">
        <w:rPr>
          <w:rFonts w:ascii="Times" w:eastAsia="Times New Roman" w:hAnsi="Times" w:cs="Times New Roman"/>
        </w:rPr>
        <w:t xml:space="preserve">necessariamente </w:t>
      </w:r>
      <w:r w:rsidR="00E643D7">
        <w:rPr>
          <w:rFonts w:ascii="Times" w:eastAsia="Times New Roman" w:hAnsi="Times" w:cs="Times New Roman"/>
        </w:rPr>
        <w:t>pre</w:t>
      </w:r>
      <w:r w:rsidR="0054476B">
        <w:rPr>
          <w:rFonts w:ascii="Times" w:eastAsia="Times New Roman" w:hAnsi="Times" w:cs="Times New Roman"/>
        </w:rPr>
        <w:t xml:space="preserve">ceduta da </w:t>
      </w:r>
      <w:r w:rsidR="00E643D7">
        <w:rPr>
          <w:rFonts w:ascii="Times" w:eastAsia="Times New Roman" w:hAnsi="Times" w:cs="Times New Roman"/>
        </w:rPr>
        <w:t>una corrispondente comunicazione al mercato</w:t>
      </w:r>
      <w:r>
        <w:rPr>
          <w:rFonts w:ascii="Times" w:eastAsia="Times New Roman" w:hAnsi="Times" w:cs="Times New Roman"/>
        </w:rPr>
        <w:t xml:space="preserve"> da parte degli operatori</w:t>
      </w:r>
      <w:r w:rsidR="000557CD">
        <w:rPr>
          <w:rStyle w:val="Rimandonotaapidipagina"/>
          <w:rFonts w:ascii="Times" w:eastAsia="Times New Roman" w:hAnsi="Times" w:cs="Times New Roman"/>
        </w:rPr>
        <w:footnoteReference w:id="25"/>
      </w:r>
      <w:r w:rsidR="00E643D7">
        <w:rPr>
          <w:rFonts w:ascii="Times" w:eastAsia="Times New Roman" w:hAnsi="Times" w:cs="Times New Roman"/>
        </w:rPr>
        <w:t xml:space="preserve">. Gli altri parametri valutano </w:t>
      </w:r>
      <w:r w:rsidR="0054476B">
        <w:rPr>
          <w:rFonts w:ascii="Times" w:eastAsia="Times New Roman" w:hAnsi="Times" w:cs="Times New Roman"/>
        </w:rPr>
        <w:t>gli altri effetti</w:t>
      </w:r>
      <w:r w:rsidR="00E643D7">
        <w:rPr>
          <w:rFonts w:ascii="Times" w:eastAsia="Times New Roman" w:hAnsi="Times" w:cs="Times New Roman"/>
        </w:rPr>
        <w:t xml:space="preserve"> che la prassi potrebbe </w:t>
      </w:r>
      <w:r w:rsidR="0054476B">
        <w:rPr>
          <w:rFonts w:ascii="Times" w:eastAsia="Times New Roman" w:hAnsi="Times" w:cs="Times New Roman"/>
        </w:rPr>
        <w:t>produrre sul mercato in questione e sugli altri mercati anche indirettamente connessi.</w:t>
      </w:r>
    </w:p>
    <w:p w14:paraId="0CF4FA37" w14:textId="5E918F9E" w:rsidR="0054476B" w:rsidRDefault="0054476B" w:rsidP="003A63CD">
      <w:pPr>
        <w:spacing w:after="100" w:afterAutospacing="1" w:line="276" w:lineRule="auto"/>
        <w:rPr>
          <w:rFonts w:ascii="Times" w:eastAsia="Times New Roman" w:hAnsi="Times" w:cs="Times New Roman"/>
        </w:rPr>
      </w:pPr>
      <w:r>
        <w:rPr>
          <w:rFonts w:ascii="Times" w:eastAsia="Times New Roman" w:hAnsi="Times" w:cs="Times New Roman"/>
        </w:rPr>
        <w:t>Da tale constatazione si può sostenere che il risparmiatore</w:t>
      </w:r>
      <w:r w:rsidR="00EA13EC">
        <w:rPr>
          <w:rFonts w:ascii="Times" w:eastAsia="Times New Roman" w:hAnsi="Times" w:cs="Times New Roman"/>
        </w:rPr>
        <w:t>,</w:t>
      </w:r>
      <w:r>
        <w:rPr>
          <w:rFonts w:ascii="Times" w:eastAsia="Times New Roman" w:hAnsi="Times" w:cs="Times New Roman"/>
        </w:rPr>
        <w:t xml:space="preserve"> che abbia deciso di investire sul mercato o</w:t>
      </w:r>
      <w:r w:rsidR="00EA13EC">
        <w:rPr>
          <w:rFonts w:ascii="Times" w:eastAsia="Times New Roman" w:hAnsi="Times" w:cs="Times New Roman"/>
        </w:rPr>
        <w:t xml:space="preserve"> </w:t>
      </w:r>
      <w:r w:rsidR="00D7269B">
        <w:rPr>
          <w:rFonts w:ascii="Times" w:eastAsia="Times New Roman" w:hAnsi="Times" w:cs="Times New Roman"/>
        </w:rPr>
        <w:t>non abbia venduto dopo l’avvenuta</w:t>
      </w:r>
      <w:r>
        <w:rPr>
          <w:rFonts w:ascii="Times" w:eastAsia="Times New Roman" w:hAnsi="Times" w:cs="Times New Roman"/>
        </w:rPr>
        <w:t xml:space="preserve"> comunicazione al mercato sulla prassi legittima</w:t>
      </w:r>
      <w:r w:rsidR="00EA13EC">
        <w:rPr>
          <w:rFonts w:ascii="Times" w:eastAsia="Times New Roman" w:hAnsi="Times" w:cs="Times New Roman"/>
        </w:rPr>
        <w:t>,</w:t>
      </w:r>
      <w:r>
        <w:rPr>
          <w:rFonts w:ascii="Times" w:eastAsia="Times New Roman" w:hAnsi="Times" w:cs="Times New Roman"/>
        </w:rPr>
        <w:t xml:space="preserve"> </w:t>
      </w:r>
      <w:r w:rsidR="00EA13EC">
        <w:rPr>
          <w:rFonts w:ascii="Times" w:eastAsia="Times New Roman" w:hAnsi="Times" w:cs="Times New Roman"/>
        </w:rPr>
        <w:t>h</w:t>
      </w:r>
      <w:r>
        <w:rPr>
          <w:rFonts w:ascii="Times" w:eastAsia="Times New Roman" w:hAnsi="Times" w:cs="Times New Roman"/>
        </w:rPr>
        <w:t>a accettato il rischio che tale situazione comportava.</w:t>
      </w:r>
    </w:p>
    <w:p w14:paraId="3BDBCE46" w14:textId="21936D83" w:rsidR="008E2147" w:rsidRDefault="0054476B" w:rsidP="003A63CD">
      <w:pPr>
        <w:spacing w:after="100" w:afterAutospacing="1" w:line="276" w:lineRule="auto"/>
        <w:rPr>
          <w:rFonts w:ascii="Times" w:eastAsia="Times New Roman" w:hAnsi="Times" w:cs="Times New Roman"/>
        </w:rPr>
      </w:pPr>
      <w:r>
        <w:rPr>
          <w:rFonts w:ascii="Times" w:eastAsia="Times New Roman" w:hAnsi="Times" w:cs="Times New Roman"/>
        </w:rPr>
        <w:t>Quando invece la prassi sia stata ammessa</w:t>
      </w:r>
      <w:r w:rsidR="00825B25">
        <w:rPr>
          <w:rFonts w:ascii="Times" w:eastAsia="Times New Roman" w:hAnsi="Times" w:cs="Times New Roman"/>
        </w:rPr>
        <w:t xml:space="preserve"> dalla CONSOB</w:t>
      </w:r>
      <w:r>
        <w:rPr>
          <w:rFonts w:ascii="Times" w:eastAsia="Times New Roman" w:hAnsi="Times" w:cs="Times New Roman"/>
        </w:rPr>
        <w:t xml:space="preserve"> in carenza dei relativi requisiti, ed in particolare quando manchi il requisito della trasparenza</w:t>
      </w:r>
      <w:r w:rsidR="00313D40">
        <w:rPr>
          <w:rFonts w:ascii="Times" w:eastAsia="Times New Roman" w:hAnsi="Times" w:cs="Times New Roman"/>
        </w:rPr>
        <w:t>, chi compie</w:t>
      </w:r>
      <w:r>
        <w:rPr>
          <w:rFonts w:ascii="Times" w:eastAsia="Times New Roman" w:hAnsi="Times" w:cs="Times New Roman"/>
        </w:rPr>
        <w:t xml:space="preserve"> la prassi non sarà chiamato a dare alcuna comunicazione al mercato</w:t>
      </w:r>
      <w:r w:rsidR="00825B25">
        <w:rPr>
          <w:rFonts w:ascii="Times" w:eastAsia="Times New Roman" w:hAnsi="Times" w:cs="Times New Roman"/>
        </w:rPr>
        <w:t>.</w:t>
      </w:r>
      <w:r w:rsidR="004C0CA6">
        <w:rPr>
          <w:rFonts w:ascii="Times" w:eastAsia="Times New Roman" w:hAnsi="Times" w:cs="Times New Roman"/>
        </w:rPr>
        <w:t xml:space="preserve"> Varrà così il principio di affidamento sulla correttezza dell’azione della CONSOB.</w:t>
      </w:r>
      <w:r w:rsidR="00825B25">
        <w:rPr>
          <w:rFonts w:ascii="Times" w:eastAsia="Times New Roman" w:hAnsi="Times" w:cs="Times New Roman"/>
        </w:rPr>
        <w:t xml:space="preserve"> </w:t>
      </w:r>
      <w:r w:rsidR="00D7269B">
        <w:rPr>
          <w:rFonts w:ascii="Times" w:eastAsia="Times New Roman" w:hAnsi="Times" w:cs="Times New Roman"/>
        </w:rPr>
        <w:t>Pertanto gli eventuali</w:t>
      </w:r>
      <w:r w:rsidR="00825B25">
        <w:rPr>
          <w:rFonts w:ascii="Times" w:eastAsia="Times New Roman" w:hAnsi="Times" w:cs="Times New Roman"/>
        </w:rPr>
        <w:t xml:space="preserve"> danni </w:t>
      </w:r>
      <w:r w:rsidR="00D7269B">
        <w:rPr>
          <w:rFonts w:ascii="Times" w:eastAsia="Times New Roman" w:hAnsi="Times" w:cs="Times New Roman"/>
        </w:rPr>
        <w:t>derivanti</w:t>
      </w:r>
      <w:r w:rsidR="00825B25">
        <w:rPr>
          <w:rFonts w:ascii="Times" w:eastAsia="Times New Roman" w:hAnsi="Times" w:cs="Times New Roman"/>
        </w:rPr>
        <w:t xml:space="preserve"> dall’illegittima</w:t>
      </w:r>
      <w:r w:rsidR="006D432E">
        <w:rPr>
          <w:rFonts w:ascii="Times" w:eastAsia="Times New Roman" w:hAnsi="Times" w:cs="Times New Roman"/>
        </w:rPr>
        <w:t xml:space="preserve"> ammissione della prassi</w:t>
      </w:r>
      <w:r w:rsidR="004C0CA6">
        <w:rPr>
          <w:rFonts w:ascii="Times" w:eastAsia="Times New Roman" w:hAnsi="Times" w:cs="Times New Roman"/>
        </w:rPr>
        <w:t xml:space="preserve"> da parte</w:t>
      </w:r>
      <w:r w:rsidR="00825B25">
        <w:rPr>
          <w:rFonts w:ascii="Times" w:eastAsia="Times New Roman" w:hAnsi="Times" w:cs="Times New Roman"/>
        </w:rPr>
        <w:t xml:space="preserve"> della CONSOB</w:t>
      </w:r>
      <w:r w:rsidR="006D432E">
        <w:rPr>
          <w:rFonts w:ascii="Times" w:eastAsia="Times New Roman" w:hAnsi="Times" w:cs="Times New Roman"/>
        </w:rPr>
        <w:t>,</w:t>
      </w:r>
      <w:r w:rsidR="00825B25">
        <w:rPr>
          <w:rFonts w:ascii="Times" w:eastAsia="Times New Roman" w:hAnsi="Times" w:cs="Times New Roman"/>
        </w:rPr>
        <w:t xml:space="preserve"> </w:t>
      </w:r>
      <w:r w:rsidR="00D7269B">
        <w:rPr>
          <w:rFonts w:ascii="Times" w:eastAsia="Times New Roman" w:hAnsi="Times" w:cs="Times New Roman"/>
        </w:rPr>
        <w:t>potrebbero</w:t>
      </w:r>
      <w:r w:rsidR="004C0CA6">
        <w:rPr>
          <w:rFonts w:ascii="Times" w:eastAsia="Times New Roman" w:hAnsi="Times" w:cs="Times New Roman"/>
        </w:rPr>
        <w:t xml:space="preserve"> essere risarciti nell’ambito di un giudizio sulla </w:t>
      </w:r>
      <w:r w:rsidR="00825B25">
        <w:rPr>
          <w:rFonts w:ascii="Times" w:eastAsia="Times New Roman" w:hAnsi="Times" w:cs="Times New Roman"/>
        </w:rPr>
        <w:t xml:space="preserve">sua </w:t>
      </w:r>
      <w:r w:rsidR="006D432E">
        <w:rPr>
          <w:rFonts w:ascii="Times" w:eastAsia="Times New Roman" w:hAnsi="Times" w:cs="Times New Roman"/>
        </w:rPr>
        <w:t xml:space="preserve">eventuale </w:t>
      </w:r>
      <w:r w:rsidR="00825B25">
        <w:rPr>
          <w:rFonts w:ascii="Times" w:eastAsia="Times New Roman" w:hAnsi="Times" w:cs="Times New Roman"/>
        </w:rPr>
        <w:t>responsabilità amministrativa</w:t>
      </w:r>
      <w:r w:rsidR="008E2147">
        <w:rPr>
          <w:rStyle w:val="Rimandonotaapidipagina"/>
          <w:rFonts w:ascii="Times" w:eastAsia="Times New Roman" w:hAnsi="Times" w:cs="Times New Roman"/>
        </w:rPr>
        <w:footnoteReference w:id="26"/>
      </w:r>
      <w:r w:rsidR="00313D40">
        <w:rPr>
          <w:rFonts w:ascii="Times" w:eastAsia="Times New Roman" w:hAnsi="Times" w:cs="Times New Roman"/>
        </w:rPr>
        <w:t xml:space="preserve">. </w:t>
      </w:r>
    </w:p>
    <w:p w14:paraId="2C9323BE" w14:textId="23CF0CB6" w:rsidR="00773D6D" w:rsidRPr="00CA30CC" w:rsidRDefault="008E2147" w:rsidP="00773D6D">
      <w:pPr>
        <w:spacing w:after="100" w:afterAutospacing="1" w:line="276" w:lineRule="auto"/>
        <w:rPr>
          <w:rFonts w:ascii="Times" w:eastAsia="Times New Roman" w:hAnsi="Times" w:cs="Times New Roman"/>
        </w:rPr>
      </w:pPr>
      <w:r>
        <w:rPr>
          <w:rFonts w:ascii="Times" w:eastAsia="Times New Roman" w:hAnsi="Times" w:cs="Times New Roman"/>
        </w:rPr>
        <w:t>In conclusione, i</w:t>
      </w:r>
      <w:r w:rsidR="00313D40">
        <w:rPr>
          <w:rFonts w:ascii="Times" w:eastAsia="Times New Roman" w:hAnsi="Times" w:cs="Times New Roman"/>
        </w:rPr>
        <w:t>n tali circost</w:t>
      </w:r>
      <w:r>
        <w:rPr>
          <w:rFonts w:ascii="Times" w:eastAsia="Times New Roman" w:hAnsi="Times" w:cs="Times New Roman"/>
        </w:rPr>
        <w:t>anze</w:t>
      </w:r>
      <w:r w:rsidR="00313D40">
        <w:rPr>
          <w:rFonts w:ascii="Times" w:eastAsia="Times New Roman" w:hAnsi="Times" w:cs="Times New Roman"/>
        </w:rPr>
        <w:t xml:space="preserve"> si</w:t>
      </w:r>
      <w:r w:rsidR="0054476B">
        <w:rPr>
          <w:rFonts w:ascii="Times" w:eastAsia="Times New Roman" w:hAnsi="Times" w:cs="Times New Roman"/>
        </w:rPr>
        <w:t xml:space="preserve"> </w:t>
      </w:r>
      <w:r w:rsidR="00DB767D">
        <w:rPr>
          <w:rFonts w:ascii="Times" w:eastAsia="Times New Roman" w:hAnsi="Times" w:cs="Times New Roman"/>
        </w:rPr>
        <w:t xml:space="preserve">potrà </w:t>
      </w:r>
      <w:r w:rsidR="00313D40">
        <w:rPr>
          <w:rFonts w:ascii="Times" w:eastAsia="Times New Roman" w:hAnsi="Times" w:cs="Times New Roman"/>
        </w:rPr>
        <w:t>configurare</w:t>
      </w:r>
      <w:r w:rsidR="00DB767D">
        <w:rPr>
          <w:rFonts w:ascii="Times" w:eastAsia="Times New Roman" w:hAnsi="Times" w:cs="Times New Roman"/>
        </w:rPr>
        <w:t xml:space="preserve"> una responsabilità amministrativa derivante dall’illegittimità del provvedimento di ammissione, con risarcimento da parte della CONSOB per il </w:t>
      </w:r>
      <w:r w:rsidR="00313D40">
        <w:rPr>
          <w:rFonts w:ascii="Times" w:eastAsia="Times New Roman" w:hAnsi="Times" w:cs="Times New Roman"/>
        </w:rPr>
        <w:t>danno conseguente all’esercizio non corretto</w:t>
      </w:r>
      <w:r w:rsidR="00DB767D">
        <w:rPr>
          <w:rFonts w:ascii="Times" w:eastAsia="Times New Roman" w:hAnsi="Times" w:cs="Times New Roman"/>
        </w:rPr>
        <w:t xml:space="preserve"> delle sue funzioni, </w:t>
      </w:r>
      <w:r w:rsidR="00313D40">
        <w:rPr>
          <w:rFonts w:ascii="Times" w:eastAsia="Times New Roman" w:hAnsi="Times" w:cs="Times New Roman"/>
        </w:rPr>
        <w:t>mentre</w:t>
      </w:r>
      <w:r w:rsidR="00DB767D">
        <w:rPr>
          <w:rFonts w:ascii="Times" w:eastAsia="Times New Roman" w:hAnsi="Times" w:cs="Times New Roman"/>
        </w:rPr>
        <w:t xml:space="preserve"> </w:t>
      </w:r>
      <w:r w:rsidR="00B22E8D">
        <w:rPr>
          <w:rFonts w:ascii="Times" w:eastAsia="Times New Roman" w:hAnsi="Times" w:cs="Times New Roman"/>
        </w:rPr>
        <w:t>appare difficile ipotizzare la</w:t>
      </w:r>
      <w:r w:rsidR="00313D40">
        <w:rPr>
          <w:rFonts w:ascii="Times" w:eastAsia="Times New Roman" w:hAnsi="Times" w:cs="Times New Roman"/>
        </w:rPr>
        <w:t xml:space="preserve"> </w:t>
      </w:r>
      <w:r w:rsidR="00DB767D">
        <w:rPr>
          <w:rFonts w:ascii="Times" w:eastAsia="Times New Roman" w:hAnsi="Times" w:cs="Times New Roman"/>
        </w:rPr>
        <w:t xml:space="preserve">responsabilità civile </w:t>
      </w:r>
      <w:r w:rsidR="00B22E8D">
        <w:rPr>
          <w:rFonts w:ascii="Times" w:eastAsia="Times New Roman" w:hAnsi="Times" w:cs="Times New Roman"/>
        </w:rPr>
        <w:t>di</w:t>
      </w:r>
      <w:r w:rsidR="00DB767D">
        <w:rPr>
          <w:rFonts w:ascii="Times" w:eastAsia="Times New Roman" w:hAnsi="Times" w:cs="Times New Roman"/>
        </w:rPr>
        <w:t xml:space="preserve"> chi</w:t>
      </w:r>
      <w:r w:rsidR="00B22E8D" w:rsidRPr="00B22E8D">
        <w:rPr>
          <w:rFonts w:ascii="Times" w:eastAsia="Times New Roman" w:hAnsi="Times" w:cs="Times New Roman"/>
        </w:rPr>
        <w:t xml:space="preserve"> </w:t>
      </w:r>
      <w:r w:rsidR="00B22E8D">
        <w:rPr>
          <w:rFonts w:ascii="Times" w:eastAsia="Times New Roman" w:hAnsi="Times" w:cs="Times New Roman"/>
        </w:rPr>
        <w:t>abbia ingiustamente danneggiato l’altrui patrimonio</w:t>
      </w:r>
      <w:r w:rsidR="00DB767D">
        <w:rPr>
          <w:rFonts w:ascii="Times" w:eastAsia="Times New Roman" w:hAnsi="Times" w:cs="Times New Roman"/>
        </w:rPr>
        <w:t xml:space="preserve"> </w:t>
      </w:r>
      <w:r w:rsidR="0098289A">
        <w:rPr>
          <w:rFonts w:ascii="Times" w:eastAsia="Times New Roman" w:hAnsi="Times" w:cs="Times New Roman"/>
        </w:rPr>
        <w:t>ritenendo il</w:t>
      </w:r>
      <w:r w:rsidR="00DB767D">
        <w:rPr>
          <w:rFonts w:ascii="Times" w:eastAsia="Times New Roman" w:hAnsi="Times" w:cs="Times New Roman"/>
        </w:rPr>
        <w:t xml:space="preserve"> pro</w:t>
      </w:r>
      <w:r w:rsidR="00A2620D">
        <w:rPr>
          <w:rFonts w:ascii="Times" w:eastAsia="Times New Roman" w:hAnsi="Times" w:cs="Times New Roman"/>
        </w:rPr>
        <w:t>vvedimento</w:t>
      </w:r>
      <w:r w:rsidR="0098289A">
        <w:rPr>
          <w:rFonts w:ascii="Times" w:eastAsia="Times New Roman" w:hAnsi="Times" w:cs="Times New Roman"/>
        </w:rPr>
        <w:t xml:space="preserve"> legittimo</w:t>
      </w:r>
      <w:r w:rsidR="00A2620D">
        <w:rPr>
          <w:rFonts w:ascii="Times" w:eastAsia="Times New Roman" w:hAnsi="Times" w:cs="Times New Roman"/>
        </w:rPr>
        <w:t>.</w:t>
      </w:r>
    </w:p>
    <w:p w14:paraId="5BAAD0AB" w14:textId="1E44EEB0" w:rsidR="00367EE8" w:rsidRDefault="00367EE8" w:rsidP="003A63CD">
      <w:pPr>
        <w:pStyle w:val="Titolo2"/>
      </w:pPr>
      <w:bookmarkStart w:id="5" w:name="_Toc277195430"/>
      <w:r w:rsidRPr="009B0AFD">
        <w:t xml:space="preserve">La previsione di un </w:t>
      </w:r>
      <w:r w:rsidR="00BB5E5A">
        <w:t>“doppio binario” sanzionatorio</w:t>
      </w:r>
      <w:bookmarkEnd w:id="5"/>
    </w:p>
    <w:p w14:paraId="4073E73D" w14:textId="2D7E827A" w:rsidR="00B76F10" w:rsidRDefault="00CA30CC" w:rsidP="003A63CD">
      <w:pPr>
        <w:spacing w:after="100" w:afterAutospacing="1" w:line="276" w:lineRule="auto"/>
      </w:pPr>
      <w:r>
        <w:t>Le riflessioni esposte riguardo al rapporto tra prassi legittime e delitto di manipolazione del mercato sembrano poter costituire, più in generale, una chiave di lettura anche per l’intero sistema dei rapporti tra illecito penale ed amministrativo</w:t>
      </w:r>
      <w:r>
        <w:rPr>
          <w:rStyle w:val="Rimandonotaapidipagina"/>
        </w:rPr>
        <w:footnoteReference w:id="27"/>
      </w:r>
      <w:r>
        <w:t>.</w:t>
      </w:r>
      <w:r w:rsidR="006B4138">
        <w:t xml:space="preserve"> </w:t>
      </w:r>
      <w:r w:rsidR="0092431A">
        <w:t>Se</w:t>
      </w:r>
      <w:r w:rsidR="00757C88">
        <w:t>,</w:t>
      </w:r>
      <w:r w:rsidR="0092431A">
        <w:t xml:space="preserve"> infatti</w:t>
      </w:r>
      <w:r w:rsidR="00757C88">
        <w:t>,</w:t>
      </w:r>
      <w:r w:rsidR="0092431A">
        <w:t xml:space="preserve"> si rilevasse che i rapporti tra illeciti sono </w:t>
      </w:r>
      <w:r w:rsidR="00AD3962">
        <w:t>informati</w:t>
      </w:r>
      <w:r w:rsidR="0092431A">
        <w:t xml:space="preserve"> dal principio di specialità, la definizione di un</w:t>
      </w:r>
      <w:r w:rsidR="00AD3962">
        <w:t>o dei due illeciti</w:t>
      </w:r>
      <w:r w:rsidR="0092431A">
        <w:t xml:space="preserve"> sarebbe un ausilio importante per l’interpretazione dell’altro</w:t>
      </w:r>
      <w:r w:rsidR="00B76F10">
        <w:rPr>
          <w:rStyle w:val="Rimandonotaapidipagina"/>
        </w:rPr>
        <w:footnoteReference w:id="28"/>
      </w:r>
      <w:r w:rsidR="0092431A">
        <w:t>.</w:t>
      </w:r>
    </w:p>
    <w:p w14:paraId="79CA2021" w14:textId="1A3E022A" w:rsidR="0046332F" w:rsidRDefault="001312A0" w:rsidP="003A63CD">
      <w:pPr>
        <w:spacing w:after="100" w:afterAutospacing="1" w:line="276" w:lineRule="auto"/>
      </w:pPr>
      <w:r>
        <w:t>La dottrina ha significativamente definito il</w:t>
      </w:r>
      <w:r w:rsidR="00FC16B1">
        <w:t xml:space="preserve"> sistema </w:t>
      </w:r>
      <w:r>
        <w:t>creato dalla legge 62 del 2005 “</w:t>
      </w:r>
      <w:r w:rsidR="00FC16B1">
        <w:t>a doppio binario</w:t>
      </w:r>
      <w:r w:rsidR="00757C88">
        <w:t>”</w:t>
      </w:r>
      <w:r w:rsidR="007F492D">
        <w:t>,</w:t>
      </w:r>
      <w:r w:rsidR="00757C88">
        <w:t xml:space="preserve"> per la compresenza di illecito penale ed amministrativo. </w:t>
      </w:r>
      <w:r w:rsidR="00AD3962">
        <w:t xml:space="preserve">Tale </w:t>
      </w:r>
      <w:r w:rsidR="007F492D">
        <w:t>nomenclatura</w:t>
      </w:r>
      <w:r w:rsidR="00AD3962">
        <w:t xml:space="preserve"> risulta particolarmente efficace nell’evidenziare come, a norma dell’art. 187 </w:t>
      </w:r>
      <w:r w:rsidR="00AD3962" w:rsidRPr="006A5B1B">
        <w:rPr>
          <w:i/>
        </w:rPr>
        <w:t>duodecies</w:t>
      </w:r>
      <w:r w:rsidR="0046332F">
        <w:t xml:space="preserve"> del T.U.F.</w:t>
      </w:r>
      <w:r w:rsidR="00EF31CE" w:rsidRPr="00EF31CE">
        <w:rPr>
          <w:rStyle w:val="Rimandonotaapidipagina"/>
        </w:rPr>
        <w:t xml:space="preserve"> </w:t>
      </w:r>
      <w:r w:rsidR="00EF31CE" w:rsidRPr="0046332F">
        <w:rPr>
          <w:rStyle w:val="Rimandonotaapidipagina"/>
        </w:rPr>
        <w:footnoteReference w:id="29"/>
      </w:r>
      <w:r w:rsidR="00AD3962">
        <w:t xml:space="preserve">, </w:t>
      </w:r>
      <w:r w:rsidR="006A5B1B">
        <w:t>i procedimenti avanti al giudice penale e al cospetto della CONSOB siano autonomi e distinti e che</w:t>
      </w:r>
      <w:r w:rsidR="007F492D">
        <w:t>,</w:t>
      </w:r>
      <w:r w:rsidR="006A5B1B">
        <w:t xml:space="preserve"> in particolare</w:t>
      </w:r>
      <w:r w:rsidR="007F492D">
        <w:t>,</w:t>
      </w:r>
      <w:r w:rsidR="006A5B1B">
        <w:t xml:space="preserve"> la procedura della CONSOB </w:t>
      </w:r>
      <w:r w:rsidR="007F492D">
        <w:t>finalizzata all’irrogazione del</w:t>
      </w:r>
      <w:r w:rsidR="006A5B1B">
        <w:t xml:space="preserve">le sanzioni </w:t>
      </w:r>
      <w:r w:rsidR="0046332F">
        <w:t>non potrà essere sospesa in pendenza di un procedimento penale.</w:t>
      </w:r>
      <w:r w:rsidR="00EF31CE">
        <w:t xml:space="preserve"> </w:t>
      </w:r>
      <w:r w:rsidR="0046332F">
        <w:t xml:space="preserve">I rapporti tra CONSOB e magistratura sono ulteriormente definiti dall’art. 187 </w:t>
      </w:r>
      <w:r w:rsidR="0046332F" w:rsidRPr="0046332F">
        <w:rPr>
          <w:i/>
        </w:rPr>
        <w:t>decies</w:t>
      </w:r>
      <w:r w:rsidR="0046332F">
        <w:rPr>
          <w:rStyle w:val="Rimandonotaapidipagina"/>
        </w:rPr>
        <w:footnoteReference w:id="30"/>
      </w:r>
      <w:r w:rsidR="0046332F">
        <w:t>, che disciplina i rispettivi obblighi informativi e la reciproca collaborazione nelle indagini</w:t>
      </w:r>
      <w:r w:rsidR="00EF31CE">
        <w:t>.</w:t>
      </w:r>
    </w:p>
    <w:p w14:paraId="4877246C" w14:textId="500B89E6" w:rsidR="00F91DB3" w:rsidRDefault="00EF31CE" w:rsidP="003A63CD">
      <w:pPr>
        <w:spacing w:after="100" w:afterAutospacing="1" w:line="276" w:lineRule="auto"/>
        <w:rPr>
          <w:rFonts w:cs="Times New Roman"/>
        </w:rPr>
      </w:pPr>
      <w:r>
        <w:t>Il problema maggiore di questo sistema emerge dalla previsione di procedimenti paralleli che si</w:t>
      </w:r>
      <w:r w:rsidR="008F6F55">
        <w:t xml:space="preserve"> possono</w:t>
      </w:r>
      <w:r>
        <w:t xml:space="preserve"> conclude</w:t>
      </w:r>
      <w:r w:rsidR="008F6F55">
        <w:t>re</w:t>
      </w:r>
      <w:r>
        <w:t xml:space="preserve"> con l’applicazione congiunta delle sanzioni, poiché i commi primo e terzo dell’art. 187 </w:t>
      </w:r>
      <w:r w:rsidRPr="00EF31CE">
        <w:rPr>
          <w:i/>
        </w:rPr>
        <w:t>ter</w:t>
      </w:r>
      <w:r>
        <w:t xml:space="preserve"> espressamente fa</w:t>
      </w:r>
      <w:r w:rsidR="00F91DB3">
        <w:t>nno</w:t>
      </w:r>
      <w:r>
        <w:t xml:space="preserve"> </w:t>
      </w:r>
      <w:r w:rsidRPr="00EF31CE">
        <w:rPr>
          <w:rFonts w:cs="Times New Roman"/>
          <w:i/>
        </w:rPr>
        <w:t>«salve le sanzioni penali quando il fatto costituisce reato»</w:t>
      </w:r>
      <w:r>
        <w:rPr>
          <w:rFonts w:cs="Times New Roman"/>
        </w:rPr>
        <w:t>.</w:t>
      </w:r>
      <w:r w:rsidR="00F91DB3">
        <w:rPr>
          <w:rFonts w:cs="Times New Roman"/>
        </w:rPr>
        <w:t xml:space="preserve"> </w:t>
      </w:r>
      <w:r w:rsidR="006926E8">
        <w:rPr>
          <w:rFonts w:cs="Times New Roman"/>
        </w:rPr>
        <w:t xml:space="preserve">La </w:t>
      </w:r>
      <w:r w:rsidR="008F6F55">
        <w:rPr>
          <w:rFonts w:cs="Times New Roman"/>
        </w:rPr>
        <w:t xml:space="preserve">dottrina </w:t>
      </w:r>
      <w:r w:rsidR="00BC4EA8">
        <w:rPr>
          <w:rFonts w:cs="Times New Roman"/>
        </w:rPr>
        <w:t>si è divisa in due filoni principali: da una parte alcuni Autori hanno</w:t>
      </w:r>
      <w:r w:rsidR="008F6F55">
        <w:rPr>
          <w:rFonts w:cs="Times New Roman"/>
        </w:rPr>
        <w:t xml:space="preserve"> interpreta</w:t>
      </w:r>
      <w:r w:rsidR="006926E8">
        <w:rPr>
          <w:rFonts w:cs="Times New Roman"/>
        </w:rPr>
        <w:t>to</w:t>
      </w:r>
      <w:r w:rsidR="008F6F55">
        <w:rPr>
          <w:rFonts w:cs="Times New Roman"/>
        </w:rPr>
        <w:t xml:space="preserve"> la dicitura come una clausola di sussidiarietà espressa, mentre </w:t>
      </w:r>
      <w:r w:rsidR="00BC4EA8">
        <w:rPr>
          <w:rFonts w:cs="Times New Roman"/>
        </w:rPr>
        <w:t>secondo un diverso orientamento</w:t>
      </w:r>
      <w:r w:rsidR="008F6F55">
        <w:rPr>
          <w:rFonts w:cs="Times New Roman"/>
        </w:rPr>
        <w:t xml:space="preserve"> </w:t>
      </w:r>
      <w:r w:rsidR="007F492D">
        <w:rPr>
          <w:rFonts w:cs="Times New Roman"/>
        </w:rPr>
        <w:t>essa</w:t>
      </w:r>
      <w:r w:rsidR="008F6F55">
        <w:rPr>
          <w:rFonts w:cs="Times New Roman"/>
        </w:rPr>
        <w:t xml:space="preserve"> </w:t>
      </w:r>
      <w:r w:rsidR="00BC4EA8">
        <w:rPr>
          <w:rFonts w:cs="Times New Roman"/>
        </w:rPr>
        <w:t>sarà</w:t>
      </w:r>
      <w:r w:rsidR="008F6F55">
        <w:rPr>
          <w:rFonts w:cs="Times New Roman"/>
        </w:rPr>
        <w:t xml:space="preserve"> una clausola di esclusione della sussidiarietà</w:t>
      </w:r>
      <w:r w:rsidR="008F6F55">
        <w:rPr>
          <w:rStyle w:val="Rimandonotaapidipagina"/>
          <w:rFonts w:cs="Times New Roman"/>
        </w:rPr>
        <w:footnoteReference w:id="31"/>
      </w:r>
      <w:r w:rsidR="008F6F55">
        <w:rPr>
          <w:rFonts w:cs="Times New Roman"/>
        </w:rPr>
        <w:t>.</w:t>
      </w:r>
    </w:p>
    <w:p w14:paraId="1160491B" w14:textId="612AB67A" w:rsidR="0020562D" w:rsidRDefault="00F91DB3" w:rsidP="003A63CD">
      <w:pPr>
        <w:spacing w:after="100" w:afterAutospacing="1" w:line="276" w:lineRule="auto"/>
        <w:rPr>
          <w:rFonts w:cs="Times New Roman"/>
        </w:rPr>
      </w:pPr>
      <w:r>
        <w:rPr>
          <w:rFonts w:cs="Times New Roman"/>
        </w:rPr>
        <w:t>Invero</w:t>
      </w:r>
      <w:r w:rsidR="009B4C74">
        <w:rPr>
          <w:rFonts w:cs="Times New Roman"/>
        </w:rPr>
        <w:t>,</w:t>
      </w:r>
      <w:r>
        <w:rPr>
          <w:rFonts w:cs="Times New Roman"/>
        </w:rPr>
        <w:t xml:space="preserve"> sembra</w:t>
      </w:r>
      <w:r w:rsidR="009B4C74">
        <w:rPr>
          <w:rFonts w:cs="Times New Roman"/>
        </w:rPr>
        <w:t xml:space="preserve"> che</w:t>
      </w:r>
      <w:r>
        <w:rPr>
          <w:rFonts w:cs="Times New Roman"/>
        </w:rPr>
        <w:t xml:space="preserve"> il </w:t>
      </w:r>
      <w:r w:rsidR="00B31C3E">
        <w:rPr>
          <w:rFonts w:cs="Times New Roman"/>
        </w:rPr>
        <w:t>legislatore</w:t>
      </w:r>
      <w:r>
        <w:rPr>
          <w:rFonts w:cs="Times New Roman"/>
        </w:rPr>
        <w:t xml:space="preserve"> si preoccupi della possibile violazione del </w:t>
      </w:r>
      <w:r w:rsidRPr="00073BAD">
        <w:rPr>
          <w:rFonts w:cs="Times New Roman"/>
          <w:i/>
        </w:rPr>
        <w:t>ne bis in idem</w:t>
      </w:r>
      <w:r w:rsidR="007F492D">
        <w:rPr>
          <w:rFonts w:cs="Times New Roman"/>
        </w:rPr>
        <w:t>,</w:t>
      </w:r>
      <w:r w:rsidR="009B4C74">
        <w:rPr>
          <w:rFonts w:cs="Times New Roman"/>
        </w:rPr>
        <w:t xml:space="preserve"> prevedendo, all’art. 187 </w:t>
      </w:r>
      <w:r w:rsidR="009B4C74" w:rsidRPr="00073BAD">
        <w:rPr>
          <w:rFonts w:cs="Times New Roman"/>
          <w:i/>
        </w:rPr>
        <w:t>terdecies</w:t>
      </w:r>
      <w:r w:rsidR="000609CA">
        <w:rPr>
          <w:rStyle w:val="Rimandonotaapidipagina"/>
          <w:rFonts w:cs="Times New Roman"/>
        </w:rPr>
        <w:footnoteReference w:id="32"/>
      </w:r>
      <w:r w:rsidR="009B4C74">
        <w:rPr>
          <w:rFonts w:cs="Times New Roman"/>
        </w:rPr>
        <w:t xml:space="preserve">, che </w:t>
      </w:r>
      <w:r w:rsidR="00073BAD">
        <w:rPr>
          <w:rFonts w:cs="Times New Roman"/>
        </w:rPr>
        <w:t>l’esazione della pena pecuniaria per il reo e della sanzione amministrativa dipendente da reato per l’ente</w:t>
      </w:r>
      <w:r w:rsidR="00980C84">
        <w:rPr>
          <w:rFonts w:cs="Times New Roman"/>
        </w:rPr>
        <w:t xml:space="preserve"> è limitata alla parte eccedente quella riscossa dalla CONSOB quale illecito amministrativo. </w:t>
      </w:r>
    </w:p>
    <w:p w14:paraId="0FD9ED9B" w14:textId="6BB3848F" w:rsidR="009C16DF" w:rsidRDefault="009C16DF" w:rsidP="003A63CD">
      <w:pPr>
        <w:spacing w:after="100" w:afterAutospacing="1" w:line="276" w:lineRule="auto"/>
        <w:rPr>
          <w:rFonts w:cs="Times New Roman"/>
        </w:rPr>
      </w:pPr>
      <w:r>
        <w:rPr>
          <w:rFonts w:cs="Times New Roman"/>
        </w:rPr>
        <w:t xml:space="preserve">La misura della sanzione effettivamente inflitta appare almeno parzialmente condizionata dalla circostanza, del tutto estranea al fatto illecito, che un procedimento sia stato concluso </w:t>
      </w:r>
      <w:r w:rsidR="007F492D">
        <w:rPr>
          <w:rFonts w:cs="Times New Roman"/>
        </w:rPr>
        <w:t>prima de</w:t>
      </w:r>
      <w:r>
        <w:rPr>
          <w:rFonts w:cs="Times New Roman"/>
        </w:rPr>
        <w:t>ll’altro. Peraltro, anche dal punto di vista sostanziale non si spiega come la sanzione pecuniaria “finale” possa essere individuata nella più elevata tra la sanzione amministrativa e quella penale concretamente irrogate. Così come lascia perplessi la previsione di una pena pecuniaria ben più alta per l’illecito amministrativo rispetto alla multa, anch’essa comunque elevata, prevista per il delitto</w:t>
      </w:r>
      <w:r w:rsidR="00CE1B58">
        <w:rPr>
          <w:rStyle w:val="Rimandonotaapidipagina"/>
          <w:rFonts w:cs="Times New Roman"/>
        </w:rPr>
        <w:footnoteReference w:id="33"/>
      </w:r>
      <w:r>
        <w:rPr>
          <w:rFonts w:cs="Times New Roman"/>
        </w:rPr>
        <w:t>.</w:t>
      </w:r>
    </w:p>
    <w:p w14:paraId="72F605D4" w14:textId="49F8735B" w:rsidR="002B73FA" w:rsidRDefault="00980C84" w:rsidP="003A63CD">
      <w:pPr>
        <w:spacing w:after="100" w:afterAutospacing="1" w:line="276" w:lineRule="auto"/>
        <w:rPr>
          <w:rFonts w:cs="Times New Roman"/>
        </w:rPr>
      </w:pPr>
      <w:r>
        <w:rPr>
          <w:rFonts w:cs="Times New Roman"/>
        </w:rPr>
        <w:t xml:space="preserve">La formulazione </w:t>
      </w:r>
      <w:r w:rsidR="0020562D">
        <w:rPr>
          <w:rFonts w:cs="Times New Roman"/>
        </w:rPr>
        <w:t>di tal</w:t>
      </w:r>
      <w:r w:rsidR="007F492D">
        <w:rPr>
          <w:rFonts w:cs="Times New Roman"/>
        </w:rPr>
        <w:t>e</w:t>
      </w:r>
      <w:r w:rsidR="0020562D">
        <w:rPr>
          <w:rFonts w:cs="Times New Roman"/>
        </w:rPr>
        <w:t xml:space="preserve"> articolo appare</w:t>
      </w:r>
      <w:r w:rsidR="00BC4EA8">
        <w:rPr>
          <w:rFonts w:cs="Times New Roman"/>
        </w:rPr>
        <w:t xml:space="preserve"> particolarmente</w:t>
      </w:r>
      <w:r w:rsidR="0020562D">
        <w:rPr>
          <w:rFonts w:cs="Times New Roman"/>
        </w:rPr>
        <w:t xml:space="preserve"> affrettata</w:t>
      </w:r>
      <w:r w:rsidR="007F492D">
        <w:rPr>
          <w:rFonts w:cs="Times New Roman"/>
        </w:rPr>
        <w:t>,</w:t>
      </w:r>
      <w:r w:rsidR="0020562D">
        <w:rPr>
          <w:rFonts w:cs="Times New Roman"/>
        </w:rPr>
        <w:t xml:space="preserve"> in quanto presuppone che il procedimento amministrativo della CONSOB abbia necessariamente termine precedentemente a quello penale</w:t>
      </w:r>
      <w:r w:rsidR="006836BF">
        <w:rPr>
          <w:rStyle w:val="Rimandonotaapidipagina"/>
          <w:rFonts w:cs="Times New Roman"/>
        </w:rPr>
        <w:footnoteReference w:id="34"/>
      </w:r>
      <w:r w:rsidR="0020562D">
        <w:rPr>
          <w:rFonts w:cs="Times New Roman"/>
        </w:rPr>
        <w:t>. Si deve però rilevare che, quand’anche i procedimenti siano stati avviati contemporaneamente, il procedimento penale, statisticamente più lungo, po</w:t>
      </w:r>
      <w:r w:rsidR="007F492D">
        <w:rPr>
          <w:rFonts w:cs="Times New Roman"/>
        </w:rPr>
        <w:t>trebbe</w:t>
      </w:r>
      <w:r w:rsidR="0020562D">
        <w:rPr>
          <w:rFonts w:cs="Times New Roman"/>
        </w:rPr>
        <w:t xml:space="preserve"> essere concluso in tempi brevi. Esemplificativo di ciò è la circostanza, tutt’altro che teorica, che si proceda con rito abbreviato o con l’applicazione della pena su richiesta delle parti.</w:t>
      </w:r>
      <w:r w:rsidR="008F5570">
        <w:rPr>
          <w:rFonts w:cs="Times New Roman"/>
        </w:rPr>
        <w:t xml:space="preserve"> </w:t>
      </w:r>
    </w:p>
    <w:p w14:paraId="6B8AB62D" w14:textId="1F8C7944" w:rsidR="00675744" w:rsidRDefault="002B73FA" w:rsidP="003A63CD">
      <w:pPr>
        <w:spacing w:after="100" w:afterAutospacing="1" w:line="276" w:lineRule="auto"/>
        <w:rPr>
          <w:rFonts w:cs="Times New Roman"/>
        </w:rPr>
      </w:pPr>
      <w:r>
        <w:rPr>
          <w:rFonts w:cs="Times New Roman"/>
        </w:rPr>
        <w:t>Infine, si deve rilevare come il cumulo concerne le sole sanzioni pecuniarie, pertanto rimarrebbero escluse dall’ambito della norma, oltre alle pene detentive, anche le misure accessorie, specialmente quando non dovessero coincidere i tempi di applicazione</w:t>
      </w:r>
      <w:r>
        <w:rPr>
          <w:rStyle w:val="Rimandonotaapidipagina"/>
          <w:rFonts w:cs="Times New Roman"/>
        </w:rPr>
        <w:footnoteReference w:id="35"/>
      </w:r>
      <w:r>
        <w:rPr>
          <w:rFonts w:cs="Times New Roman"/>
        </w:rPr>
        <w:t xml:space="preserve">. </w:t>
      </w:r>
      <w:r w:rsidR="007971AD">
        <w:rPr>
          <w:rFonts w:cs="Times New Roman"/>
        </w:rPr>
        <w:t xml:space="preserve">Il principio di consunzione, formulato per individuare quale tra le fattispecie fosse applicabile, in tali circostanze assume l’inedita forma di “consunzione della pena” </w:t>
      </w:r>
      <w:r w:rsidR="001223E2">
        <w:rPr>
          <w:rFonts w:cs="Times New Roman"/>
        </w:rPr>
        <w:t>e</w:t>
      </w:r>
      <w:r w:rsidR="007971AD">
        <w:rPr>
          <w:rFonts w:cs="Times New Roman"/>
        </w:rPr>
        <w:t xml:space="preserve"> quantifica la </w:t>
      </w:r>
      <w:r w:rsidR="001223E2">
        <w:rPr>
          <w:rFonts w:cs="Times New Roman"/>
        </w:rPr>
        <w:t>sanzione</w:t>
      </w:r>
      <w:r w:rsidR="007971AD">
        <w:rPr>
          <w:rFonts w:cs="Times New Roman"/>
        </w:rPr>
        <w:t xml:space="preserve"> concretamente inflitta dal sistema “a doppio binario” nel suo complesso.</w:t>
      </w:r>
    </w:p>
    <w:p w14:paraId="68965CF8" w14:textId="282133BE" w:rsidR="009C16DF" w:rsidRDefault="00783109" w:rsidP="003A63CD">
      <w:pPr>
        <w:spacing w:after="100" w:afterAutospacing="1" w:line="276" w:lineRule="auto"/>
        <w:rPr>
          <w:rFonts w:cs="Times New Roman"/>
        </w:rPr>
      </w:pPr>
      <w:r>
        <w:rPr>
          <w:rFonts w:cs="Times New Roman"/>
        </w:rPr>
        <w:t>La previsione non deroga solo al principio di specialità sancito dall’art. 9</w:t>
      </w:r>
      <w:r w:rsidR="00D63075">
        <w:rPr>
          <w:rFonts w:cs="Times New Roman"/>
        </w:rPr>
        <w:t>, primo comma,</w:t>
      </w:r>
      <w:r>
        <w:rPr>
          <w:rFonts w:cs="Times New Roman"/>
        </w:rPr>
        <w:t xml:space="preserve"> della legge 689 del 1981</w:t>
      </w:r>
      <w:r w:rsidR="00D63075">
        <w:rPr>
          <w:rStyle w:val="Rimandonotaapidipagina"/>
          <w:rFonts w:cs="Times New Roman"/>
        </w:rPr>
        <w:footnoteReference w:id="36"/>
      </w:r>
      <w:r>
        <w:rPr>
          <w:rFonts w:cs="Times New Roman"/>
        </w:rPr>
        <w:t>, ma anche ai criteri enunciati nella Circolare del Consiglio dei ministri del 19 dicembre 1983 in tema di sanzioni penali ed amministrative</w:t>
      </w:r>
      <w:r w:rsidR="00482A29">
        <w:rPr>
          <w:rFonts w:cs="Times New Roman"/>
        </w:rPr>
        <w:t>.</w:t>
      </w:r>
    </w:p>
    <w:p w14:paraId="1B245EC0" w14:textId="4AB5B2FB" w:rsidR="00582DDC" w:rsidRDefault="008F5570" w:rsidP="003A63CD">
      <w:pPr>
        <w:spacing w:after="100" w:afterAutospacing="1" w:line="276" w:lineRule="auto"/>
        <w:rPr>
          <w:rFonts w:cs="Times New Roman"/>
        </w:rPr>
      </w:pPr>
      <w:r>
        <w:rPr>
          <w:rFonts w:cs="Times New Roman"/>
        </w:rPr>
        <w:t>Simili conclusioni appaiono inaccettabili e ripropongono le perplessità già sollevate in sede di redazione della norma</w:t>
      </w:r>
      <w:r w:rsidR="00F26558">
        <w:rPr>
          <w:rFonts w:cs="Times New Roman"/>
        </w:rPr>
        <w:t xml:space="preserve">, superate nell’urgenza di approvare la legge di recepimento della MAD una volta che i termini per </w:t>
      </w:r>
      <w:r w:rsidR="007F492D">
        <w:rPr>
          <w:rFonts w:cs="Times New Roman"/>
        </w:rPr>
        <w:t>adempiere agli obblighi da essa discendenti</w:t>
      </w:r>
      <w:r w:rsidR="00F26558">
        <w:rPr>
          <w:rFonts w:cs="Times New Roman"/>
        </w:rPr>
        <w:t xml:space="preserve"> erano già scaduti</w:t>
      </w:r>
      <w:r w:rsidR="00F26558">
        <w:rPr>
          <w:rStyle w:val="Rimandonotaapidipagina"/>
          <w:rFonts w:cs="Times New Roman"/>
        </w:rPr>
        <w:footnoteReference w:id="37"/>
      </w:r>
      <w:r>
        <w:rPr>
          <w:rFonts w:cs="Times New Roman"/>
        </w:rPr>
        <w:t xml:space="preserve">. </w:t>
      </w:r>
    </w:p>
    <w:p w14:paraId="367D12C6" w14:textId="46DFCEF0" w:rsidR="009C16DF" w:rsidRPr="005E2072" w:rsidRDefault="00F26558" w:rsidP="003A63CD">
      <w:pPr>
        <w:spacing w:after="100" w:afterAutospacing="1" w:line="276" w:lineRule="auto"/>
        <w:rPr>
          <w:rFonts w:cs="Times New Roman"/>
        </w:rPr>
      </w:pPr>
      <w:r>
        <w:rPr>
          <w:rFonts w:cs="Times New Roman"/>
        </w:rPr>
        <w:t xml:space="preserve">In particolare </w:t>
      </w:r>
      <w:r w:rsidR="00402509">
        <w:rPr>
          <w:rFonts w:cs="Times New Roman"/>
        </w:rPr>
        <w:t>il relatore</w:t>
      </w:r>
      <w:r w:rsidR="00A563DD">
        <w:rPr>
          <w:rFonts w:cs="Times New Roman"/>
        </w:rPr>
        <w:t xml:space="preserve"> al Senato</w:t>
      </w:r>
      <w:r w:rsidR="007F492D">
        <w:rPr>
          <w:rFonts w:cs="Times New Roman"/>
        </w:rPr>
        <w:t>, Sen.</w:t>
      </w:r>
      <w:r w:rsidR="00402509">
        <w:rPr>
          <w:rFonts w:cs="Times New Roman"/>
        </w:rPr>
        <w:t xml:space="preserve"> Greco</w:t>
      </w:r>
      <w:r w:rsidR="007F492D">
        <w:rPr>
          <w:rFonts w:cs="Times New Roman"/>
        </w:rPr>
        <w:t>,</w:t>
      </w:r>
      <w:r w:rsidR="00402509">
        <w:rPr>
          <w:rFonts w:cs="Times New Roman"/>
        </w:rPr>
        <w:t xml:space="preserve"> rispo</w:t>
      </w:r>
      <w:r w:rsidR="00A563DD">
        <w:rPr>
          <w:rFonts w:cs="Times New Roman"/>
        </w:rPr>
        <w:t>s</w:t>
      </w:r>
      <w:r w:rsidR="00402509">
        <w:rPr>
          <w:rFonts w:cs="Times New Roman"/>
        </w:rPr>
        <w:t xml:space="preserve">e </w:t>
      </w:r>
      <w:r w:rsidR="00A563DD">
        <w:rPr>
          <w:rFonts w:cs="Times New Roman"/>
        </w:rPr>
        <w:t>all’obiezione che si potesse avere</w:t>
      </w:r>
      <w:r w:rsidR="00402509">
        <w:rPr>
          <w:rFonts w:cs="Times New Roman"/>
        </w:rPr>
        <w:t xml:space="preserve"> un cumulo tra sanzioni penali ed amministrative</w:t>
      </w:r>
      <w:r w:rsidR="007F492D">
        <w:rPr>
          <w:rFonts w:cs="Times New Roman"/>
        </w:rPr>
        <w:t>,</w:t>
      </w:r>
      <w:r w:rsidR="00402509">
        <w:rPr>
          <w:rFonts w:cs="Times New Roman"/>
        </w:rPr>
        <w:t xml:space="preserve"> evidenziando che </w:t>
      </w:r>
      <w:r w:rsidR="00402509" w:rsidRPr="00402509">
        <w:rPr>
          <w:rFonts w:cs="Times New Roman"/>
          <w:i/>
        </w:rPr>
        <w:t>«l’autonomia dei due procedimenti […] non significa ancora che debba esserci necessariamente cumulo tra sanzioni penali ed amministrative»</w:t>
      </w:r>
      <w:r w:rsidR="00402509" w:rsidRPr="00402509">
        <w:rPr>
          <w:rStyle w:val="Rimandonotaapidipagina"/>
          <w:rFonts w:cs="Times New Roman"/>
        </w:rPr>
        <w:footnoteReference w:id="38"/>
      </w:r>
      <w:r w:rsidR="00402509">
        <w:rPr>
          <w:rFonts w:cs="Times New Roman"/>
        </w:rPr>
        <w:t xml:space="preserve"> e che la sovrapposizione di sanzioni dovrebbe </w:t>
      </w:r>
      <w:r w:rsidR="00402509" w:rsidRPr="005E2072">
        <w:rPr>
          <w:rFonts w:cs="Times New Roman"/>
        </w:rPr>
        <w:t xml:space="preserve">essere risolta attraverso il disposto dell’art. 187 </w:t>
      </w:r>
      <w:r w:rsidR="00402509" w:rsidRPr="005E2072">
        <w:rPr>
          <w:rFonts w:cs="Times New Roman"/>
          <w:i/>
        </w:rPr>
        <w:t>terdecies</w:t>
      </w:r>
      <w:r w:rsidR="00582DDC" w:rsidRPr="005E2072">
        <w:rPr>
          <w:rFonts w:cs="Times New Roman"/>
        </w:rPr>
        <w:t>. Il relatore quindi rimand</w:t>
      </w:r>
      <w:r w:rsidR="00A563DD" w:rsidRPr="005E2072">
        <w:rPr>
          <w:rFonts w:cs="Times New Roman"/>
        </w:rPr>
        <w:t>ò</w:t>
      </w:r>
      <w:r w:rsidR="00582DDC" w:rsidRPr="005E2072">
        <w:rPr>
          <w:rFonts w:cs="Times New Roman"/>
        </w:rPr>
        <w:t xml:space="preserve"> ad una delle leggi in corso di approvazione ed attinenti alla materia la possibilità di inserire eventuali correzioni.</w:t>
      </w:r>
    </w:p>
    <w:p w14:paraId="28DACA19" w14:textId="3EA741C5" w:rsidR="006A1D66" w:rsidRDefault="006A1D66" w:rsidP="003A63CD">
      <w:pPr>
        <w:autoSpaceDE w:val="0"/>
        <w:autoSpaceDN w:val="0"/>
        <w:adjustRightInd w:val="0"/>
        <w:spacing w:after="100" w:afterAutospacing="1" w:line="276" w:lineRule="auto"/>
        <w:rPr>
          <w:rFonts w:cs="Times New Roman"/>
        </w:rPr>
      </w:pPr>
      <w:r w:rsidRPr="005E2072">
        <w:rPr>
          <w:rFonts w:cs="Times New Roman"/>
        </w:rPr>
        <w:t xml:space="preserve">L’errore del </w:t>
      </w:r>
      <w:r w:rsidR="00B31C3E">
        <w:rPr>
          <w:rFonts w:cs="Times New Roman"/>
        </w:rPr>
        <w:t>legislatore</w:t>
      </w:r>
      <w:r w:rsidRPr="005E2072">
        <w:rPr>
          <w:rFonts w:cs="Times New Roman"/>
        </w:rPr>
        <w:t xml:space="preserve"> è stato probabilmente causato da una interpretazione </w:t>
      </w:r>
      <w:r w:rsidR="005569C5" w:rsidRPr="005E2072">
        <w:rPr>
          <w:rFonts w:cs="Times New Roman"/>
        </w:rPr>
        <w:t>fuorviante</w:t>
      </w:r>
      <w:r w:rsidR="00B35821" w:rsidRPr="005E2072">
        <w:rPr>
          <w:rFonts w:cs="Times New Roman"/>
        </w:rPr>
        <w:t xml:space="preserve"> dell’art. 14 della MAD, il quale fa salvo </w:t>
      </w:r>
      <w:r w:rsidR="00B35821" w:rsidRPr="005E2072">
        <w:rPr>
          <w:rFonts w:cs="Times New Roman"/>
          <w:i/>
        </w:rPr>
        <w:t>«il diritto degli Stati membri di imporre sanzioni penali»</w:t>
      </w:r>
      <w:r w:rsidR="007F492D">
        <w:rPr>
          <w:rFonts w:cs="Times New Roman"/>
        </w:rPr>
        <w:t>,</w:t>
      </w:r>
      <w:r w:rsidR="00B35821" w:rsidRPr="005E2072">
        <w:rPr>
          <w:rFonts w:cs="Times New Roman"/>
        </w:rPr>
        <w:t xml:space="preserve"> ma certamente non impone la </w:t>
      </w:r>
      <w:r w:rsidR="00C36ED0" w:rsidRPr="005E2072">
        <w:rPr>
          <w:rFonts w:cs="Times New Roman"/>
        </w:rPr>
        <w:t>presenza dell’illecito amministrativo</w:t>
      </w:r>
      <w:r w:rsidR="00B35821" w:rsidRPr="005E2072">
        <w:rPr>
          <w:rFonts w:cs="Times New Roman"/>
        </w:rPr>
        <w:t xml:space="preserve"> </w:t>
      </w:r>
      <w:r w:rsidR="00C36ED0" w:rsidRPr="005E2072">
        <w:rPr>
          <w:rFonts w:cs="Times New Roman"/>
        </w:rPr>
        <w:t>simultanea a quella dell’illecito penale.</w:t>
      </w:r>
      <w:r w:rsidR="00B35821" w:rsidRPr="005E2072">
        <w:rPr>
          <w:rFonts w:cs="Times New Roman"/>
        </w:rPr>
        <w:t xml:space="preserve"> </w:t>
      </w:r>
      <w:r w:rsidR="00C83C1B" w:rsidRPr="005E2072">
        <w:rPr>
          <w:rFonts w:cs="Times New Roman"/>
        </w:rPr>
        <w:t>Così si è espressa</w:t>
      </w:r>
      <w:r w:rsidR="00B35821" w:rsidRPr="005E2072">
        <w:rPr>
          <w:rFonts w:cs="Times New Roman"/>
        </w:rPr>
        <w:t xml:space="preserve"> la Corte di Giustizia</w:t>
      </w:r>
      <w:r w:rsidR="00B35821" w:rsidRPr="005E2072">
        <w:rPr>
          <w:rStyle w:val="Rimandonotaapidipagina"/>
          <w:rFonts w:cs="Times New Roman"/>
        </w:rPr>
        <w:footnoteReference w:id="39"/>
      </w:r>
      <w:r w:rsidR="007F492D">
        <w:rPr>
          <w:rFonts w:cs="Times New Roman"/>
        </w:rPr>
        <w:t>, ch</w:t>
      </w:r>
      <w:r w:rsidR="00C83C1B" w:rsidRPr="005E2072">
        <w:rPr>
          <w:rFonts w:cs="Times New Roman"/>
        </w:rPr>
        <w:t>e</w:t>
      </w:r>
      <w:r w:rsidR="00B35821" w:rsidRPr="005E2072">
        <w:rPr>
          <w:rFonts w:cs="Times New Roman"/>
        </w:rPr>
        <w:t xml:space="preserve"> ha </w:t>
      </w:r>
      <w:r w:rsidR="00CD1D11" w:rsidRPr="005E2072">
        <w:rPr>
          <w:rFonts w:cs="Times New Roman"/>
        </w:rPr>
        <w:t>interpretato la MAD nel senso che l’Unione europea non ha obbligato</w:t>
      </w:r>
      <w:r w:rsidR="00162EE0" w:rsidRPr="005E2072">
        <w:rPr>
          <w:rFonts w:cs="Times New Roman"/>
        </w:rPr>
        <w:t xml:space="preserve"> a prevedere sanzioni penali</w:t>
      </w:r>
      <w:r w:rsidR="00CD1D11" w:rsidRPr="005E2072">
        <w:rPr>
          <w:rFonts w:cs="Times New Roman"/>
        </w:rPr>
        <w:t xml:space="preserve">, né avrebbe avuto la competenza di farlo nel momento in cui è stata </w:t>
      </w:r>
      <w:r w:rsidR="00162EE0" w:rsidRPr="005E2072">
        <w:rPr>
          <w:rFonts w:cs="Times New Roman"/>
        </w:rPr>
        <w:t>emanata la MAD</w:t>
      </w:r>
      <w:r w:rsidR="00C61938" w:rsidRPr="005E2072">
        <w:rPr>
          <w:rFonts w:cs="Times New Roman"/>
        </w:rPr>
        <w:t>. Al contrario, la Corte di Giustizia ha stabilito che soltanto il carattere effettivo, proporzionato e dissuasivo della sanzione amministrativa dovrà essere valutato per determinare l’adeguatezza della tutela, anche in presenza di sanzioni pecuniarie di natura penale</w:t>
      </w:r>
      <w:r w:rsidR="00C61938" w:rsidRPr="005E2072">
        <w:rPr>
          <w:rStyle w:val="Rimandonotaapidipagina"/>
          <w:rFonts w:cs="Times New Roman"/>
        </w:rPr>
        <w:footnoteReference w:id="40"/>
      </w:r>
      <w:r w:rsidR="00B35821" w:rsidRPr="005E2072">
        <w:rPr>
          <w:rFonts w:cs="Times New Roman"/>
        </w:rPr>
        <w:t>.</w:t>
      </w:r>
    </w:p>
    <w:p w14:paraId="18478F25" w14:textId="5E5D5673" w:rsidR="002E247A" w:rsidRPr="005E2072" w:rsidRDefault="002E247A" w:rsidP="003A63CD">
      <w:pPr>
        <w:autoSpaceDE w:val="0"/>
        <w:autoSpaceDN w:val="0"/>
        <w:adjustRightInd w:val="0"/>
        <w:spacing w:after="100" w:afterAutospacing="1" w:line="276" w:lineRule="auto"/>
        <w:rPr>
          <w:rFonts w:cs="Times New Roman"/>
        </w:rPr>
      </w:pPr>
      <w:r>
        <w:rPr>
          <w:rFonts w:cs="Times New Roman"/>
        </w:rPr>
        <w:t>Come si è esposto</w:t>
      </w:r>
      <w:r w:rsidR="009644D0">
        <w:rPr>
          <w:rStyle w:val="Rimandonotaapidipagina"/>
          <w:rFonts w:cs="Times New Roman"/>
        </w:rPr>
        <w:footnoteReference w:id="41"/>
      </w:r>
      <w:r>
        <w:rPr>
          <w:rFonts w:cs="Times New Roman"/>
        </w:rPr>
        <w:t>, l’adozione della sanzione penale è resa obbligatoria</w:t>
      </w:r>
      <w:r w:rsidR="009644D0">
        <w:rPr>
          <w:rFonts w:cs="Times New Roman"/>
        </w:rPr>
        <w:t xml:space="preserve"> non dalla MAD, ma</w:t>
      </w:r>
      <w:r>
        <w:rPr>
          <w:rFonts w:cs="Times New Roman"/>
        </w:rPr>
        <w:t xml:space="preserve"> dalla necessità di </w:t>
      </w:r>
      <w:r w:rsidR="009644D0">
        <w:rPr>
          <w:rFonts w:cs="Times New Roman"/>
        </w:rPr>
        <w:t xml:space="preserve">garantire l’adeguatezza della tutela, che </w:t>
      </w:r>
      <w:r w:rsidR="00B412C2">
        <w:rPr>
          <w:rFonts w:cs="Times New Roman"/>
        </w:rPr>
        <w:t xml:space="preserve">secondo il legislatore italiano </w:t>
      </w:r>
      <w:r w:rsidR="00CF6E57">
        <w:rPr>
          <w:rFonts w:cs="Times New Roman"/>
        </w:rPr>
        <w:t>costituisce un condizionamento assoluto in favore di una tutela di tipo penalistico.</w:t>
      </w:r>
    </w:p>
    <w:p w14:paraId="0D0CD67B" w14:textId="41D90489" w:rsidR="00DE631D" w:rsidRDefault="00DE631D" w:rsidP="003A63CD">
      <w:pPr>
        <w:pStyle w:val="CM1"/>
        <w:widowControl/>
        <w:spacing w:before="200" w:after="100" w:afterAutospacing="1" w:line="276" w:lineRule="auto"/>
        <w:ind w:firstLine="454"/>
        <w:jc w:val="both"/>
        <w:rPr>
          <w:rFonts w:ascii="Times New Roman" w:hAnsi="Times New Roman"/>
        </w:rPr>
      </w:pPr>
      <w:r w:rsidRPr="005E2072">
        <w:rPr>
          <w:rFonts w:ascii="Times New Roman" w:hAnsi="Times New Roman"/>
        </w:rPr>
        <w:t>D’altronde</w:t>
      </w:r>
      <w:r w:rsidR="00CF6E57">
        <w:rPr>
          <w:rFonts w:ascii="Times New Roman" w:hAnsi="Times New Roman"/>
        </w:rPr>
        <w:t>,</w:t>
      </w:r>
      <w:r w:rsidRPr="005E2072">
        <w:rPr>
          <w:rFonts w:ascii="Times New Roman" w:hAnsi="Times New Roman"/>
        </w:rPr>
        <w:t xml:space="preserve"> </w:t>
      </w:r>
      <w:r w:rsidR="00CF6E57">
        <w:rPr>
          <w:rFonts w:ascii="Times New Roman" w:hAnsi="Times New Roman"/>
        </w:rPr>
        <w:t>l</w:t>
      </w:r>
      <w:r w:rsidRPr="005E2072">
        <w:rPr>
          <w:rFonts w:ascii="Times New Roman" w:hAnsi="Times New Roman"/>
        </w:rPr>
        <w:t xml:space="preserve">a Carta di </w:t>
      </w:r>
      <w:r w:rsidR="00E475DB" w:rsidRPr="005E2072">
        <w:rPr>
          <w:rFonts w:ascii="Times New Roman" w:hAnsi="Times New Roman"/>
        </w:rPr>
        <w:t>dei diritti fondamentali dell’Unione europea</w:t>
      </w:r>
      <w:r w:rsidRPr="005E2072">
        <w:rPr>
          <w:rFonts w:ascii="Times New Roman" w:hAnsi="Times New Roman"/>
        </w:rPr>
        <w:t xml:space="preserve"> del 2000</w:t>
      </w:r>
      <w:r w:rsidR="00E475DB" w:rsidRPr="005E2072">
        <w:rPr>
          <w:rStyle w:val="Rimandonotaapidipagina"/>
          <w:rFonts w:ascii="Times New Roman" w:hAnsi="Times New Roman"/>
        </w:rPr>
        <w:footnoteReference w:id="42"/>
      </w:r>
      <w:r w:rsidR="00CF6E57">
        <w:rPr>
          <w:rFonts w:ascii="Times New Roman" w:hAnsi="Times New Roman"/>
        </w:rPr>
        <w:t xml:space="preserve">, che </w:t>
      </w:r>
      <w:r w:rsidR="00CF6E57" w:rsidRPr="005E2072">
        <w:rPr>
          <w:rFonts w:ascii="Times New Roman" w:hAnsi="Times New Roman"/>
        </w:rPr>
        <w:t>all’articolo 50</w:t>
      </w:r>
      <w:r w:rsidR="00CF6E57" w:rsidRPr="005E2072">
        <w:rPr>
          <w:rStyle w:val="Rimandonotaapidipagina"/>
          <w:rFonts w:ascii="Times New Roman" w:hAnsi="Times New Roman"/>
        </w:rPr>
        <w:footnoteReference w:id="43"/>
      </w:r>
      <w:r w:rsidR="00CF6E57">
        <w:rPr>
          <w:rFonts w:ascii="Times New Roman" w:hAnsi="Times New Roman"/>
        </w:rPr>
        <w:t xml:space="preserve"> proclama</w:t>
      </w:r>
      <w:r w:rsidRPr="005E2072">
        <w:rPr>
          <w:rFonts w:ascii="Times New Roman" w:hAnsi="Times New Roman"/>
        </w:rPr>
        <w:t xml:space="preserve"> il principio del </w:t>
      </w:r>
      <w:r w:rsidRPr="005E2072">
        <w:rPr>
          <w:rFonts w:ascii="Times New Roman" w:hAnsi="Times New Roman"/>
          <w:i/>
        </w:rPr>
        <w:t>ne bis in idem</w:t>
      </w:r>
      <w:r w:rsidRPr="005E2072">
        <w:rPr>
          <w:rFonts w:ascii="Times New Roman" w:hAnsi="Times New Roman"/>
        </w:rPr>
        <w:t xml:space="preserve"> nell’Unione, </w:t>
      </w:r>
      <w:r w:rsidR="00E475DB" w:rsidRPr="005E2072">
        <w:rPr>
          <w:rFonts w:ascii="Times New Roman" w:hAnsi="Times New Roman"/>
        </w:rPr>
        <w:t>è stata equiparata per valore agli altri trattati dal</w:t>
      </w:r>
      <w:r w:rsidRPr="005E2072">
        <w:rPr>
          <w:rFonts w:ascii="Times New Roman" w:hAnsi="Times New Roman"/>
        </w:rPr>
        <w:t xml:space="preserve"> Trattato di Lisbona</w:t>
      </w:r>
      <w:r w:rsidR="00E475DB" w:rsidRPr="005E2072">
        <w:rPr>
          <w:rFonts w:ascii="Times New Roman" w:hAnsi="Times New Roman"/>
        </w:rPr>
        <w:t>,</w:t>
      </w:r>
      <w:r w:rsidRPr="005E2072">
        <w:rPr>
          <w:rFonts w:ascii="Times New Roman" w:hAnsi="Times New Roman"/>
        </w:rPr>
        <w:t xml:space="preserve"> in vigore dal 2009</w:t>
      </w:r>
      <w:r w:rsidR="00E475DB" w:rsidRPr="005E2072">
        <w:rPr>
          <w:rFonts w:ascii="Times New Roman" w:hAnsi="Times New Roman"/>
        </w:rPr>
        <w:t>.</w:t>
      </w:r>
      <w:r w:rsidRPr="005E2072">
        <w:rPr>
          <w:rFonts w:ascii="Times New Roman" w:hAnsi="Times New Roman"/>
        </w:rPr>
        <w:t xml:space="preserve"> Pertanto</w:t>
      </w:r>
      <w:r w:rsidR="003E748E" w:rsidRPr="005E2072">
        <w:rPr>
          <w:rFonts w:ascii="Times New Roman" w:hAnsi="Times New Roman"/>
        </w:rPr>
        <w:t xml:space="preserve">, sebbene sia ammissibile una doppia sanzione, </w:t>
      </w:r>
      <w:r w:rsidR="00E80441" w:rsidRPr="005E2072">
        <w:rPr>
          <w:rFonts w:ascii="Times New Roman" w:hAnsi="Times New Roman"/>
        </w:rPr>
        <w:t>come testimoniato dalla Corte di Giustizia</w:t>
      </w:r>
      <w:r w:rsidR="00E80441" w:rsidRPr="005E2072">
        <w:rPr>
          <w:rStyle w:val="Rimandonotaapidipagina"/>
          <w:rFonts w:ascii="Times New Roman" w:hAnsi="Times New Roman"/>
        </w:rPr>
        <w:footnoteReference w:id="44"/>
      </w:r>
      <w:r w:rsidR="003E748E" w:rsidRPr="005E2072">
        <w:rPr>
          <w:rFonts w:ascii="Times New Roman" w:hAnsi="Times New Roman"/>
        </w:rPr>
        <w:t xml:space="preserve">, condizione di ciò è che almeno una delle due sanzioni non abbia natura penale. </w:t>
      </w:r>
    </w:p>
    <w:p w14:paraId="17A0995C" w14:textId="5B637BBF" w:rsidR="005E2072" w:rsidRPr="005E2072" w:rsidRDefault="005E2072" w:rsidP="003A63CD">
      <w:pPr>
        <w:pStyle w:val="CM1"/>
        <w:widowControl/>
        <w:spacing w:before="200" w:after="100" w:afterAutospacing="1" w:line="276" w:lineRule="auto"/>
        <w:ind w:firstLine="454"/>
        <w:jc w:val="both"/>
        <w:rPr>
          <w:rFonts w:ascii="Times New Roman" w:hAnsi="Times New Roman"/>
        </w:rPr>
      </w:pPr>
      <w:r>
        <w:rPr>
          <w:rFonts w:ascii="Times New Roman" w:hAnsi="Times New Roman"/>
        </w:rPr>
        <w:t>Una interpretazione autentica</w:t>
      </w:r>
      <w:r w:rsidR="00B328FA">
        <w:rPr>
          <w:rFonts w:ascii="Times New Roman" w:hAnsi="Times New Roman"/>
        </w:rPr>
        <w:t xml:space="preserve"> della MAD sul punto</w:t>
      </w:r>
      <w:r w:rsidR="000907BE">
        <w:rPr>
          <w:rFonts w:ascii="Times New Roman" w:hAnsi="Times New Roman"/>
        </w:rPr>
        <w:t xml:space="preserve"> può essere desunta dal </w:t>
      </w:r>
      <w:r w:rsidR="000907BE" w:rsidRPr="005E2072">
        <w:rPr>
          <w:rFonts w:ascii="Times New Roman" w:hAnsi="Times New Roman"/>
        </w:rPr>
        <w:t>Regolamento UE 596/2014, che nel disciplinare l’intero sistema sanzionatorio dei mercati finanziari, ha apportato precisazioni sulla configurabilità di un sistema sanzionatorio a doppio binario</w:t>
      </w:r>
      <w:r w:rsidR="000907BE">
        <w:rPr>
          <w:rFonts w:ascii="Times New Roman" w:hAnsi="Times New Roman"/>
        </w:rPr>
        <w:t>.</w:t>
      </w:r>
      <w:r>
        <w:rPr>
          <w:rFonts w:ascii="Times New Roman" w:hAnsi="Times New Roman"/>
        </w:rPr>
        <w:t xml:space="preserve"> </w:t>
      </w:r>
      <w:r w:rsidR="000907BE">
        <w:rPr>
          <w:rFonts w:ascii="Times New Roman" w:hAnsi="Times New Roman"/>
        </w:rPr>
        <w:t>Tale Regolamento ha affrontato il tema del</w:t>
      </w:r>
      <w:r w:rsidRPr="005E2072">
        <w:rPr>
          <w:rFonts w:ascii="Times New Roman" w:hAnsi="Times New Roman"/>
        </w:rPr>
        <w:t xml:space="preserve"> </w:t>
      </w:r>
      <w:r w:rsidRPr="005E2072">
        <w:rPr>
          <w:rFonts w:ascii="Times New Roman" w:hAnsi="Times New Roman"/>
          <w:i/>
        </w:rPr>
        <w:t>ne bis in idem</w:t>
      </w:r>
      <w:r w:rsidRPr="005E2072">
        <w:rPr>
          <w:rFonts w:ascii="Times New Roman" w:hAnsi="Times New Roman"/>
        </w:rPr>
        <w:t xml:space="preserve"> </w:t>
      </w:r>
      <w:r w:rsidR="000907BE">
        <w:rPr>
          <w:rFonts w:ascii="Times New Roman" w:hAnsi="Times New Roman"/>
        </w:rPr>
        <w:t>nel</w:t>
      </w:r>
      <w:r w:rsidRPr="005E2072">
        <w:rPr>
          <w:rFonts w:ascii="Times New Roman" w:hAnsi="Times New Roman"/>
        </w:rPr>
        <w:t xml:space="preserve"> settantaduesimo considerando</w:t>
      </w:r>
      <w:r w:rsidR="000907BE">
        <w:rPr>
          <w:rFonts w:ascii="Times New Roman" w:hAnsi="Times New Roman"/>
        </w:rPr>
        <w:t>,</w:t>
      </w:r>
      <w:r w:rsidRPr="005E2072">
        <w:rPr>
          <w:rFonts w:ascii="Times New Roman" w:hAnsi="Times New Roman"/>
        </w:rPr>
        <w:t xml:space="preserve"> </w:t>
      </w:r>
      <w:r w:rsidR="000907BE">
        <w:rPr>
          <w:rFonts w:ascii="Times New Roman" w:hAnsi="Times New Roman"/>
        </w:rPr>
        <w:t>in cui ha e</w:t>
      </w:r>
      <w:r w:rsidRPr="005E2072">
        <w:rPr>
          <w:rFonts w:ascii="Times New Roman" w:hAnsi="Times New Roman"/>
        </w:rPr>
        <w:t>splicita</w:t>
      </w:r>
      <w:r w:rsidR="000907BE">
        <w:rPr>
          <w:rFonts w:ascii="Times New Roman" w:hAnsi="Times New Roman"/>
        </w:rPr>
        <w:t>to</w:t>
      </w:r>
      <w:r w:rsidRPr="005E2072">
        <w:rPr>
          <w:rFonts w:ascii="Times New Roman" w:hAnsi="Times New Roman"/>
        </w:rPr>
        <w:t xml:space="preserve"> la mera facoltà degli Stati membri di prevedere il cumulo sanzionatorio, senza alcun obbligo in tal senso. Il concetto è ribadito dall’art. 30, primo paragrafo, del medesimo Regolamento, secondo cui </w:t>
      </w:r>
      <w:r w:rsidRPr="005E2072">
        <w:rPr>
          <w:rFonts w:ascii="Times New Roman" w:hAnsi="Times New Roman"/>
          <w:i/>
        </w:rPr>
        <w:t>«gli Stati membri possono decidere di non stabilire norme relative alle sanzioni amministrative […] se le violazioni […] sono già soggette a sanzioni penali»</w:t>
      </w:r>
      <w:r w:rsidRPr="005E2072">
        <w:rPr>
          <w:rFonts w:ascii="Times New Roman" w:hAnsi="Times New Roman"/>
        </w:rPr>
        <w:t>.</w:t>
      </w:r>
    </w:p>
    <w:p w14:paraId="173B8ECC" w14:textId="02F96B32" w:rsidR="008F5570" w:rsidRPr="005E2072" w:rsidRDefault="00BF0250" w:rsidP="003A63CD">
      <w:pPr>
        <w:spacing w:after="100" w:afterAutospacing="1" w:line="276" w:lineRule="auto"/>
        <w:rPr>
          <w:rFonts w:cs="Times New Roman"/>
        </w:rPr>
      </w:pPr>
      <w:r w:rsidRPr="005E2072">
        <w:rPr>
          <w:rFonts w:cs="Times New Roman"/>
        </w:rPr>
        <w:t>I</w:t>
      </w:r>
      <w:r w:rsidR="009D4842" w:rsidRPr="005E2072">
        <w:rPr>
          <w:rFonts w:cs="Times New Roman"/>
        </w:rPr>
        <w:t xml:space="preserve">l sistema </w:t>
      </w:r>
      <w:r w:rsidR="008110E0" w:rsidRPr="005E2072">
        <w:rPr>
          <w:rFonts w:cs="Times New Roman"/>
        </w:rPr>
        <w:t>sanzionatorio</w:t>
      </w:r>
      <w:r w:rsidR="009D4842" w:rsidRPr="005E2072">
        <w:rPr>
          <w:rFonts w:cs="Times New Roman"/>
        </w:rPr>
        <w:t xml:space="preserve"> così </w:t>
      </w:r>
      <w:r w:rsidR="008110E0" w:rsidRPr="005E2072">
        <w:rPr>
          <w:rFonts w:cs="Times New Roman"/>
        </w:rPr>
        <w:t xml:space="preserve">creato ha </w:t>
      </w:r>
      <w:r w:rsidR="009D4842" w:rsidRPr="005E2072">
        <w:rPr>
          <w:rFonts w:cs="Times New Roman"/>
          <w:i/>
        </w:rPr>
        <w:t>«frantumato il sostanziale principio del ne bis in idem di sanzioni afflittive per lo stesso fatto e scardinato il rapporto tra sanzione amministrativa e penale»</w:t>
      </w:r>
      <w:r w:rsidR="008110E0" w:rsidRPr="005E2072">
        <w:rPr>
          <w:rStyle w:val="Rimandonotaapidipagina"/>
          <w:rFonts w:cs="Times New Roman"/>
        </w:rPr>
        <w:footnoteReference w:id="45"/>
      </w:r>
      <w:r w:rsidR="009D4842" w:rsidRPr="005E2072">
        <w:rPr>
          <w:rFonts w:cs="Times New Roman"/>
        </w:rPr>
        <w:t>.</w:t>
      </w:r>
      <w:r w:rsidR="00F729FA" w:rsidRPr="005E2072">
        <w:rPr>
          <w:rFonts w:cs="Times New Roman"/>
        </w:rPr>
        <w:t xml:space="preserve"> </w:t>
      </w:r>
      <w:r w:rsidR="003B1E2D">
        <w:rPr>
          <w:rFonts w:cs="Times New Roman"/>
        </w:rPr>
        <w:t>L</w:t>
      </w:r>
      <w:r w:rsidR="003B1E2D" w:rsidRPr="005E2072">
        <w:rPr>
          <w:rFonts w:cs="Times New Roman"/>
        </w:rPr>
        <w:t xml:space="preserve">’afflittività raggiunge livelli repressivi impressionanti </w:t>
      </w:r>
      <w:r w:rsidR="003B1E2D">
        <w:rPr>
          <w:rFonts w:cs="Times New Roman"/>
        </w:rPr>
        <w:t>se</w:t>
      </w:r>
      <w:r w:rsidR="00900BF2" w:rsidRPr="005E2072">
        <w:rPr>
          <w:rFonts w:cs="Times New Roman"/>
        </w:rPr>
        <w:t xml:space="preserve"> si considera</w:t>
      </w:r>
      <w:r w:rsidR="00C05159" w:rsidRPr="005E2072">
        <w:rPr>
          <w:rFonts w:cs="Times New Roman"/>
        </w:rPr>
        <w:t xml:space="preserve"> che tanto la sanzione amministrativa quanto quella penale porta</w:t>
      </w:r>
      <w:r w:rsidR="003B1E2D">
        <w:rPr>
          <w:rFonts w:cs="Times New Roman"/>
        </w:rPr>
        <w:t>no</w:t>
      </w:r>
      <w:r w:rsidR="00C05159" w:rsidRPr="005E2072">
        <w:rPr>
          <w:rFonts w:cs="Times New Roman"/>
        </w:rPr>
        <w:t xml:space="preserve"> con sé l’applicazione sia della confisca sia della responsabilità amministrativa per l’ente, </w:t>
      </w:r>
      <w:r w:rsidR="003B1E2D">
        <w:rPr>
          <w:rFonts w:cs="Times New Roman"/>
        </w:rPr>
        <w:t>peraltro</w:t>
      </w:r>
      <w:r w:rsidR="00C05159" w:rsidRPr="005E2072">
        <w:rPr>
          <w:rFonts w:cs="Times New Roman"/>
        </w:rPr>
        <w:t xml:space="preserve"> criticata in caso di enti di dimensioni ridotte perché colpisce, di fatto, il medesimo centro di int</w:t>
      </w:r>
      <w:r w:rsidR="003B1E2D">
        <w:rPr>
          <w:rFonts w:cs="Times New Roman"/>
        </w:rPr>
        <w:t>eressi già sanzionato dal reato.</w:t>
      </w:r>
    </w:p>
    <w:p w14:paraId="62E1EB65" w14:textId="0B507DB2" w:rsidR="008F5570" w:rsidRPr="005E2072" w:rsidRDefault="00431D47" w:rsidP="003A63CD">
      <w:pPr>
        <w:spacing w:after="100" w:afterAutospacing="1" w:line="276" w:lineRule="auto"/>
        <w:rPr>
          <w:rFonts w:cs="Times New Roman"/>
        </w:rPr>
      </w:pPr>
      <w:r w:rsidRPr="005E2072">
        <w:rPr>
          <w:rFonts w:cs="Times New Roman"/>
        </w:rPr>
        <w:t xml:space="preserve">L’obiettivo del </w:t>
      </w:r>
      <w:r w:rsidR="00B31C3E">
        <w:rPr>
          <w:rFonts w:cs="Times New Roman"/>
        </w:rPr>
        <w:t>legislatore</w:t>
      </w:r>
      <w:r w:rsidRPr="005E2072">
        <w:rPr>
          <w:rFonts w:cs="Times New Roman"/>
        </w:rPr>
        <w:t xml:space="preserve"> è sembrato piuttosto quello di dar luogo ad </w:t>
      </w:r>
      <w:r w:rsidRPr="005E2072">
        <w:rPr>
          <w:rFonts w:cs="Times New Roman"/>
          <w:i/>
        </w:rPr>
        <w:t>«una reazione repressiva quanto più energica possibile»</w:t>
      </w:r>
      <w:r w:rsidR="00AA5FD0" w:rsidRPr="005E2072">
        <w:rPr>
          <w:rStyle w:val="Rimandonotaapidipagina"/>
          <w:rFonts w:cs="Times New Roman"/>
        </w:rPr>
        <w:footnoteReference w:id="46"/>
      </w:r>
      <w:r w:rsidRPr="005E2072">
        <w:rPr>
          <w:rFonts w:cs="Times New Roman"/>
        </w:rPr>
        <w:t xml:space="preserve"> </w:t>
      </w:r>
      <w:r w:rsidR="00F47E87" w:rsidRPr="005E2072">
        <w:rPr>
          <w:rFonts w:cs="Times New Roman"/>
        </w:rPr>
        <w:t>e quello di</w:t>
      </w:r>
      <w:r w:rsidRPr="005E2072">
        <w:rPr>
          <w:rFonts w:cs="Times New Roman"/>
        </w:rPr>
        <w:t xml:space="preserve"> mettere i due procedimenti quasi “in competizione” tra loro</w:t>
      </w:r>
      <w:r w:rsidR="00F47E87" w:rsidRPr="005E2072">
        <w:rPr>
          <w:rFonts w:cs="Times New Roman"/>
        </w:rPr>
        <w:t>, con la</w:t>
      </w:r>
      <w:r w:rsidRPr="005E2072">
        <w:rPr>
          <w:rFonts w:cs="Times New Roman"/>
        </w:rPr>
        <w:t xml:space="preserve"> speranza che almeno</w:t>
      </w:r>
      <w:r w:rsidR="00F47E87" w:rsidRPr="005E2072">
        <w:rPr>
          <w:rFonts w:cs="Times New Roman"/>
        </w:rPr>
        <w:t xml:space="preserve"> uno</w:t>
      </w:r>
      <w:r w:rsidRPr="005E2072">
        <w:rPr>
          <w:rFonts w:cs="Times New Roman"/>
        </w:rPr>
        <w:t xml:space="preserve"> tra </w:t>
      </w:r>
      <w:r w:rsidR="00F47E87" w:rsidRPr="005E2072">
        <w:rPr>
          <w:rFonts w:cs="Times New Roman"/>
        </w:rPr>
        <w:t>i</w:t>
      </w:r>
      <w:r w:rsidRPr="005E2072">
        <w:rPr>
          <w:rFonts w:cs="Times New Roman"/>
        </w:rPr>
        <w:t xml:space="preserve"> due sia efficace</w:t>
      </w:r>
      <w:r w:rsidR="00F47E87" w:rsidRPr="005E2072">
        <w:rPr>
          <w:rFonts w:cs="Times New Roman"/>
        </w:rPr>
        <w:t>.</w:t>
      </w:r>
      <w:r w:rsidR="001B1987" w:rsidRPr="005E2072">
        <w:rPr>
          <w:rFonts w:cs="Times New Roman"/>
        </w:rPr>
        <w:t xml:space="preserve"> Anche a costo che una tale competizione possa portare ad un contrasto tra giudicati</w:t>
      </w:r>
      <w:r w:rsidR="003F4673" w:rsidRPr="005E2072">
        <w:rPr>
          <w:rStyle w:val="Rimandonotaapidipagina"/>
          <w:rFonts w:cs="Times New Roman"/>
        </w:rPr>
        <w:footnoteReference w:id="47"/>
      </w:r>
      <w:r w:rsidR="001B1093" w:rsidRPr="005E2072">
        <w:rPr>
          <w:rFonts w:cs="Times New Roman"/>
        </w:rPr>
        <w:t>.</w:t>
      </w:r>
      <w:r w:rsidR="00DA53DE" w:rsidRPr="005E2072">
        <w:rPr>
          <w:rFonts w:cs="Times New Roman"/>
        </w:rPr>
        <w:t xml:space="preserve"> Dunque la dottrina, dove ha ritenuto ch</w:t>
      </w:r>
      <w:r w:rsidR="00F3476A">
        <w:rPr>
          <w:rFonts w:cs="Times New Roman"/>
        </w:rPr>
        <w:t xml:space="preserve">e il sistema volesse derogare </w:t>
      </w:r>
      <w:r w:rsidR="00DA53DE" w:rsidRPr="005E2072">
        <w:rPr>
          <w:rFonts w:cs="Times New Roman"/>
        </w:rPr>
        <w:t xml:space="preserve">al principio di specialità, ha comunque criticato una soluzione </w:t>
      </w:r>
      <w:r w:rsidR="00117DEE" w:rsidRPr="005E2072">
        <w:rPr>
          <w:rFonts w:cs="Times New Roman"/>
        </w:rPr>
        <w:t xml:space="preserve">che violava il principio del </w:t>
      </w:r>
      <w:r w:rsidR="00117DEE" w:rsidRPr="005E2072">
        <w:rPr>
          <w:rFonts w:cs="Times New Roman"/>
          <w:i/>
        </w:rPr>
        <w:t>ne bis in idem</w:t>
      </w:r>
      <w:r w:rsidR="00F3476A">
        <w:rPr>
          <w:rFonts w:cs="Times New Roman"/>
        </w:rPr>
        <w:t>, con i conseguenti dubbi di</w:t>
      </w:r>
      <w:r w:rsidR="009B4B04" w:rsidRPr="005E2072">
        <w:rPr>
          <w:rFonts w:cs="Times New Roman"/>
        </w:rPr>
        <w:t xml:space="preserve"> costituzionalità,</w:t>
      </w:r>
      <w:r w:rsidR="00893F01">
        <w:rPr>
          <w:rFonts w:cs="Times New Roman"/>
        </w:rPr>
        <w:t xml:space="preserve"> ed h</w:t>
      </w:r>
      <w:r w:rsidR="00117DEE" w:rsidRPr="005E2072">
        <w:rPr>
          <w:rFonts w:cs="Times New Roman"/>
        </w:rPr>
        <w:t>a l’effetto collaterale di un raddoppio dei procedimenti con conseguente maggior esborso di risorse</w:t>
      </w:r>
      <w:r w:rsidR="00893F01">
        <w:rPr>
          <w:rFonts w:cs="Times New Roman"/>
        </w:rPr>
        <w:t xml:space="preserve"> pubbliche</w:t>
      </w:r>
      <w:r w:rsidR="00117DEE" w:rsidRPr="005E2072">
        <w:rPr>
          <w:rStyle w:val="Rimandonotaapidipagina"/>
          <w:rFonts w:cs="Times New Roman"/>
        </w:rPr>
        <w:footnoteReference w:id="48"/>
      </w:r>
      <w:r w:rsidR="00117DEE" w:rsidRPr="005E2072">
        <w:rPr>
          <w:rFonts w:cs="Times New Roman"/>
        </w:rPr>
        <w:t>.</w:t>
      </w:r>
    </w:p>
    <w:p w14:paraId="1350CF07" w14:textId="5EAA6F70" w:rsidR="005918B5" w:rsidRPr="006B3C2F" w:rsidRDefault="001B1093" w:rsidP="003A63CD">
      <w:pPr>
        <w:spacing w:after="100" w:afterAutospacing="1" w:line="276" w:lineRule="auto"/>
        <w:rPr>
          <w:rFonts w:cs="Times New Roman"/>
        </w:rPr>
      </w:pPr>
      <w:r w:rsidRPr="005E2072">
        <w:rPr>
          <w:rFonts w:cs="Times New Roman"/>
        </w:rPr>
        <w:t xml:space="preserve">A districare una “matassa” così complessa </w:t>
      </w:r>
      <w:r w:rsidR="003B6A5F" w:rsidRPr="005E2072">
        <w:rPr>
          <w:rFonts w:cs="Times New Roman"/>
        </w:rPr>
        <w:t xml:space="preserve">e foriera di conseguenze, stante l’afflittività delle pene, </w:t>
      </w:r>
      <w:r w:rsidR="00482A29" w:rsidRPr="005E2072">
        <w:rPr>
          <w:rFonts w:cs="Times New Roman"/>
        </w:rPr>
        <w:t>è intervenuta la</w:t>
      </w:r>
      <w:r w:rsidR="008C409D" w:rsidRPr="005E2072">
        <w:rPr>
          <w:rFonts w:cs="Times New Roman"/>
        </w:rPr>
        <w:t xml:space="preserve"> Corte di</w:t>
      </w:r>
      <w:r w:rsidR="00482A29" w:rsidRPr="005E2072">
        <w:rPr>
          <w:rFonts w:cs="Times New Roman"/>
        </w:rPr>
        <w:t xml:space="preserve"> Cassazione</w:t>
      </w:r>
      <w:r w:rsidR="008C409D" w:rsidRPr="005E2072">
        <w:rPr>
          <w:rFonts w:cs="Times New Roman"/>
        </w:rPr>
        <w:t xml:space="preserve"> con</w:t>
      </w:r>
      <w:r w:rsidR="00436094" w:rsidRPr="005E2072">
        <w:rPr>
          <w:rFonts w:cs="Times New Roman"/>
        </w:rPr>
        <w:t xml:space="preserve"> la sentenza n. 15199</w:t>
      </w:r>
      <w:r w:rsidR="00436094">
        <w:rPr>
          <w:rFonts w:cs="Times New Roman"/>
        </w:rPr>
        <w:t xml:space="preserve"> del </w:t>
      </w:r>
      <w:r w:rsidR="00417F0A">
        <w:rPr>
          <w:rFonts w:cs="Times New Roman"/>
        </w:rPr>
        <w:t>3 maggio</w:t>
      </w:r>
      <w:r w:rsidR="00436094">
        <w:rPr>
          <w:rFonts w:cs="Times New Roman"/>
        </w:rPr>
        <w:t xml:space="preserve"> 2006</w:t>
      </w:r>
      <w:r w:rsidR="008C409D">
        <w:rPr>
          <w:rFonts w:cs="Times New Roman"/>
        </w:rPr>
        <w:t>. Il Supr</w:t>
      </w:r>
      <w:r w:rsidR="008C409D" w:rsidRPr="006B3C2F">
        <w:rPr>
          <w:rFonts w:cs="Times New Roman"/>
        </w:rPr>
        <w:t>emo Collegio</w:t>
      </w:r>
      <w:r w:rsidR="008E628D" w:rsidRPr="006B3C2F">
        <w:rPr>
          <w:rFonts w:cs="Times New Roman"/>
        </w:rPr>
        <w:t xml:space="preserve"> ha</w:t>
      </w:r>
      <w:r w:rsidR="005918B5" w:rsidRPr="006B3C2F">
        <w:rPr>
          <w:rFonts w:cs="Times New Roman"/>
        </w:rPr>
        <w:t xml:space="preserve"> </w:t>
      </w:r>
      <w:r w:rsidR="008C409D" w:rsidRPr="006B3C2F">
        <w:rPr>
          <w:rFonts w:cs="Times New Roman"/>
        </w:rPr>
        <w:t xml:space="preserve">così </w:t>
      </w:r>
      <w:r w:rsidR="005918B5" w:rsidRPr="006B3C2F">
        <w:rPr>
          <w:rFonts w:cs="Times New Roman"/>
        </w:rPr>
        <w:t>riconosc</w:t>
      </w:r>
      <w:r w:rsidR="008E628D" w:rsidRPr="006B3C2F">
        <w:rPr>
          <w:rFonts w:cs="Times New Roman"/>
        </w:rPr>
        <w:t>iuto</w:t>
      </w:r>
      <w:r w:rsidR="00893F01">
        <w:rPr>
          <w:rFonts w:cs="Times New Roman"/>
        </w:rPr>
        <w:t>, in tale sede,</w:t>
      </w:r>
      <w:r w:rsidR="005918B5" w:rsidRPr="006B3C2F">
        <w:rPr>
          <w:rFonts w:cs="Times New Roman"/>
        </w:rPr>
        <w:t xml:space="preserve"> un problema di sovrapposizione normativa tra due fattispecie tendenzialmente omogenee</w:t>
      </w:r>
      <w:r w:rsidR="008E628D" w:rsidRPr="006B3C2F">
        <w:rPr>
          <w:rFonts w:cs="Times New Roman"/>
        </w:rPr>
        <w:t>.</w:t>
      </w:r>
      <w:r w:rsidR="005918B5" w:rsidRPr="006B3C2F">
        <w:rPr>
          <w:rFonts w:cs="Times New Roman"/>
        </w:rPr>
        <w:t xml:space="preserve"> </w:t>
      </w:r>
    </w:p>
    <w:p w14:paraId="564549FA" w14:textId="2BE42893" w:rsidR="00431D47" w:rsidRPr="006B3C2F" w:rsidRDefault="005918B5" w:rsidP="003A63CD">
      <w:pPr>
        <w:autoSpaceDE w:val="0"/>
        <w:autoSpaceDN w:val="0"/>
        <w:adjustRightInd w:val="0"/>
        <w:spacing w:after="100" w:afterAutospacing="1" w:line="276" w:lineRule="auto"/>
        <w:rPr>
          <w:rFonts w:cs="Times New Roman"/>
        </w:rPr>
      </w:pPr>
      <w:r w:rsidRPr="006B3C2F">
        <w:rPr>
          <w:rFonts w:cs="Times New Roman"/>
        </w:rPr>
        <w:t>Un primo elemento per distinguere le due fattispecie è rappresentato dal</w:t>
      </w:r>
      <w:r w:rsidR="006B3C2F" w:rsidRPr="006B3C2F">
        <w:rPr>
          <w:rFonts w:cs="Times New Roman"/>
        </w:rPr>
        <w:t xml:space="preserve">la </w:t>
      </w:r>
      <w:r w:rsidR="006B3C2F" w:rsidRPr="006B3C2F">
        <w:rPr>
          <w:rFonts w:cs="Times New Roman"/>
          <w:i/>
        </w:rPr>
        <w:t>«più dettagliata previsione delle condotte punibili»</w:t>
      </w:r>
      <w:r w:rsidR="006B3C2F" w:rsidRPr="006B3C2F">
        <w:rPr>
          <w:rFonts w:cs="Times New Roman"/>
        </w:rPr>
        <w:t xml:space="preserve"> e dal </w:t>
      </w:r>
      <w:r w:rsidR="006B3C2F" w:rsidRPr="006B3C2F">
        <w:rPr>
          <w:rFonts w:cs="Times New Roman"/>
          <w:i/>
        </w:rPr>
        <w:t>«riferimento al dato quantitativo dell'alterazione del prezzo degli strumenti finanziari causato dalle operazioni poste in essere sul mercato, presente solo nella disposizione penale»</w:t>
      </w:r>
      <w:r w:rsidR="006B3C2F" w:rsidRPr="006B3C2F">
        <w:rPr>
          <w:rFonts w:cs="Times New Roman"/>
        </w:rPr>
        <w:t>.</w:t>
      </w:r>
    </w:p>
    <w:p w14:paraId="3F3C0832" w14:textId="3C908ACE" w:rsidR="005918B5" w:rsidRPr="00CF109B" w:rsidRDefault="005918B5" w:rsidP="003A63CD">
      <w:pPr>
        <w:autoSpaceDE w:val="0"/>
        <w:autoSpaceDN w:val="0"/>
        <w:adjustRightInd w:val="0"/>
        <w:spacing w:after="100" w:afterAutospacing="1" w:line="276" w:lineRule="auto"/>
        <w:rPr>
          <w:rFonts w:cs="Times New Roman"/>
        </w:rPr>
      </w:pPr>
      <w:r w:rsidRPr="006B3C2F">
        <w:rPr>
          <w:rFonts w:cs="Times New Roman"/>
        </w:rPr>
        <w:t>Inol</w:t>
      </w:r>
      <w:r w:rsidRPr="00CF109B">
        <w:rPr>
          <w:rFonts w:cs="Times New Roman"/>
        </w:rPr>
        <w:t xml:space="preserve">tre </w:t>
      </w:r>
      <w:r w:rsidR="008C409D" w:rsidRPr="00CF109B">
        <w:rPr>
          <w:rFonts w:cs="Times New Roman"/>
        </w:rPr>
        <w:t xml:space="preserve">la </w:t>
      </w:r>
      <w:r w:rsidR="0067120F">
        <w:rPr>
          <w:rFonts w:cs="Times New Roman"/>
        </w:rPr>
        <w:t>Suprema Corte</w:t>
      </w:r>
      <w:r w:rsidRPr="00CF109B">
        <w:rPr>
          <w:rFonts w:cs="Times New Roman"/>
        </w:rPr>
        <w:t xml:space="preserve"> rileva come l’illecito amministrativo realizzi una tutela anticipata a </w:t>
      </w:r>
      <w:r w:rsidRPr="00CF109B">
        <w:rPr>
          <w:rFonts w:cs="Times New Roman"/>
          <w:i/>
        </w:rPr>
        <w:t>«condotte astrattamente in grado di produrre un “disturbo” dei mercati finanziari»</w:t>
      </w:r>
      <w:r w:rsidR="00C24B14" w:rsidRPr="00CF109B">
        <w:rPr>
          <w:rFonts w:cs="Times New Roman"/>
        </w:rPr>
        <w:t>, ma senza quella connotazione truffaldina ed artificiosa che sarà invece la cifra del delitto.</w:t>
      </w:r>
      <w:r w:rsidR="006B3C2F" w:rsidRPr="00CF109B">
        <w:rPr>
          <w:rFonts w:cs="Times New Roman"/>
        </w:rPr>
        <w:t xml:space="preserve"> Pertanto </w:t>
      </w:r>
      <w:r w:rsidR="006B3C2F" w:rsidRPr="00CF109B">
        <w:rPr>
          <w:rFonts w:cs="Times New Roman"/>
          <w:i/>
        </w:rPr>
        <w:t>«</w:t>
      </w:r>
      <w:r w:rsidR="00CF109B" w:rsidRPr="00CF109B">
        <w:rPr>
          <w:rFonts w:cs="Times New Roman"/>
          <w:i/>
        </w:rPr>
        <w:t>u</w:t>
      </w:r>
      <w:r w:rsidR="006B3C2F" w:rsidRPr="00CF109B">
        <w:rPr>
          <w:rFonts w:cs="Times New Roman"/>
          <w:i/>
        </w:rPr>
        <w:t>na linea distintiva ai fini dell'applicazione delle due disposizioni può individuarsi</w:t>
      </w:r>
      <w:r w:rsidR="00CF109B" w:rsidRPr="00CF109B">
        <w:rPr>
          <w:rFonts w:cs="Times New Roman"/>
          <w:i/>
        </w:rPr>
        <w:t xml:space="preserve"> </w:t>
      </w:r>
      <w:r w:rsidR="006B3C2F" w:rsidRPr="00CF109B">
        <w:rPr>
          <w:rFonts w:cs="Times New Roman"/>
          <w:i/>
        </w:rPr>
        <w:t>proprio nella presenza di condotte dirette a realizzare operazioni simulate o altri</w:t>
      </w:r>
      <w:r w:rsidR="00CF109B" w:rsidRPr="00CF109B">
        <w:rPr>
          <w:rFonts w:cs="Times New Roman"/>
          <w:i/>
        </w:rPr>
        <w:t xml:space="preserve"> </w:t>
      </w:r>
      <w:r w:rsidR="006B3C2F" w:rsidRPr="00CF109B">
        <w:rPr>
          <w:rFonts w:cs="Times New Roman"/>
          <w:i/>
        </w:rPr>
        <w:t xml:space="preserve">artifizi, </w:t>
      </w:r>
      <w:r w:rsidR="00CF109B" w:rsidRPr="00CF109B">
        <w:rPr>
          <w:rFonts w:cs="Times New Roman"/>
          <w:i/>
        </w:rPr>
        <w:t>nonché</w:t>
      </w:r>
      <w:r w:rsidR="006B3C2F" w:rsidRPr="00CF109B">
        <w:rPr>
          <w:rFonts w:cs="Times New Roman"/>
          <w:i/>
        </w:rPr>
        <w:t xml:space="preserve"> in quei casi in cui tali azioni siano idonee a concretizzare una</w:t>
      </w:r>
      <w:r w:rsidR="00CF109B" w:rsidRPr="00CF109B">
        <w:rPr>
          <w:rFonts w:cs="Times New Roman"/>
          <w:i/>
        </w:rPr>
        <w:t xml:space="preserve"> </w:t>
      </w:r>
      <w:r w:rsidR="006B3C2F" w:rsidRPr="00CF109B">
        <w:rPr>
          <w:rFonts w:cs="Times New Roman"/>
          <w:i/>
        </w:rPr>
        <w:t>sensibile modifica del prezzo degli strumenti finanziari»</w:t>
      </w:r>
      <w:r w:rsidR="006B3C2F" w:rsidRPr="00CF109B">
        <w:rPr>
          <w:rFonts w:cs="Times New Roman"/>
        </w:rPr>
        <w:t>.</w:t>
      </w:r>
    </w:p>
    <w:p w14:paraId="67B04788" w14:textId="10805EDF" w:rsidR="00CF109B" w:rsidRPr="003E0E82" w:rsidRDefault="004C0F7B" w:rsidP="003A63CD">
      <w:pPr>
        <w:spacing w:after="100" w:afterAutospacing="1" w:line="276" w:lineRule="auto"/>
      </w:pPr>
      <w:r w:rsidRPr="00CF109B">
        <w:t>Il d</w:t>
      </w:r>
      <w:r w:rsidRPr="003E0E82">
        <w:t>ibattito in giurisprudenza però è continuato, con la Corte d’Appello di Torino</w:t>
      </w:r>
      <w:r w:rsidR="00DA53DE">
        <w:rPr>
          <w:rStyle w:val="Rimandonotaapidipagina"/>
        </w:rPr>
        <w:footnoteReference w:id="49"/>
      </w:r>
      <w:r w:rsidRPr="003E0E82">
        <w:t xml:space="preserve"> che nel 2008</w:t>
      </w:r>
      <w:r w:rsidR="0067120F">
        <w:t>, pronunciandosi nel giudizio di opposizione alla sanzione amministrativa nel caso FIAT</w:t>
      </w:r>
      <w:r w:rsidR="0067120F">
        <w:rPr>
          <w:rStyle w:val="Rimandonotaapidipagina"/>
        </w:rPr>
        <w:footnoteReference w:id="50"/>
      </w:r>
      <w:r w:rsidR="0067120F">
        <w:t>,</w:t>
      </w:r>
      <w:r w:rsidRPr="003E0E82">
        <w:t xml:space="preserve"> ha </w:t>
      </w:r>
      <w:r w:rsidR="008C5788" w:rsidRPr="003E0E82">
        <w:t xml:space="preserve">ritenuto non decisive le considerazioni svolte dalla Cassazione in quello che è sembrato un </w:t>
      </w:r>
      <w:r w:rsidR="008C5788" w:rsidRPr="003E0E82">
        <w:rPr>
          <w:i/>
        </w:rPr>
        <w:t>obiter dictum</w:t>
      </w:r>
      <w:r w:rsidR="008C5788" w:rsidRPr="003E0E82">
        <w:t>.</w:t>
      </w:r>
      <w:r w:rsidR="00CF109B" w:rsidRPr="003E0E82">
        <w:t xml:space="preserve"> </w:t>
      </w:r>
    </w:p>
    <w:p w14:paraId="258B70CF" w14:textId="45916EA4" w:rsidR="003E0E82" w:rsidRPr="003E0E82" w:rsidRDefault="003E0E82" w:rsidP="003A63CD">
      <w:pPr>
        <w:autoSpaceDE w:val="0"/>
        <w:autoSpaceDN w:val="0"/>
        <w:adjustRightInd w:val="0"/>
        <w:spacing w:after="100" w:afterAutospacing="1" w:line="276" w:lineRule="auto"/>
        <w:rPr>
          <w:rFonts w:cs="Times New Roman"/>
        </w:rPr>
      </w:pPr>
      <w:r>
        <w:t>La</w:t>
      </w:r>
      <w:r w:rsidR="00CF109B" w:rsidRPr="003E0E82">
        <w:t xml:space="preserve"> Corte d’Appello di Torino</w:t>
      </w:r>
      <w:r w:rsidR="00C76228" w:rsidRPr="003E0E82">
        <w:t xml:space="preserve"> ha </w:t>
      </w:r>
      <w:r>
        <w:t xml:space="preserve">così </w:t>
      </w:r>
      <w:r w:rsidR="00C76228" w:rsidRPr="003E0E82">
        <w:t xml:space="preserve">ritenuto non applicabile il principio di specialità in quanto sia il dato normativo sia gli scopi del </w:t>
      </w:r>
      <w:r w:rsidR="00B31C3E">
        <w:t>legislatore</w:t>
      </w:r>
      <w:r w:rsidR="00C76228" w:rsidRPr="003E0E82">
        <w:t xml:space="preserve"> fanno propendere </w:t>
      </w:r>
      <w:r w:rsidR="00CF109B" w:rsidRPr="003E0E82">
        <w:t>per un’eccezione al principio generale stabilito nell’art. 9 della l.</w:t>
      </w:r>
      <w:r w:rsidRPr="003E0E82">
        <w:t xml:space="preserve"> 689 del 1981, il quale presuppone che il concorso di norme sia per sua natura apparente. La Corte ritiene che </w:t>
      </w:r>
      <w:r w:rsidRPr="003E0E82">
        <w:rPr>
          <w:i/>
        </w:rPr>
        <w:t xml:space="preserve">«specialità e interferenza </w:t>
      </w:r>
      <w:r w:rsidRPr="003E0E82">
        <w:rPr>
          <w:rFonts w:cs="Times New Roman"/>
          <w:i/>
        </w:rPr>
        <w:t xml:space="preserve">(quest’ultima produttiva l’effetto del cumulo materiale) costituiscono varianti logico-relazionali che il </w:t>
      </w:r>
      <w:r w:rsidR="00B31C3E">
        <w:rPr>
          <w:rFonts w:cs="Times New Roman"/>
          <w:i/>
        </w:rPr>
        <w:t>legislatore</w:t>
      </w:r>
      <w:r w:rsidRPr="003E0E82">
        <w:rPr>
          <w:rFonts w:cs="Times New Roman"/>
          <w:i/>
        </w:rPr>
        <w:t xml:space="preserve"> può sovra ordinare diversamente a seconda dei casi, secondo un apprezzamento politico discrezionale»</w:t>
      </w:r>
      <w:r w:rsidRPr="003E0E82">
        <w:rPr>
          <w:rFonts w:cs="Times New Roman"/>
        </w:rPr>
        <w:t xml:space="preserve"> e che nel caso in esame si è chiaramente optato per il principio di interferenza.</w:t>
      </w:r>
      <w:r w:rsidRPr="003E0E82">
        <w:t xml:space="preserve"> </w:t>
      </w:r>
    </w:p>
    <w:p w14:paraId="37DAB533" w14:textId="4EEF40D7" w:rsidR="003E0E82" w:rsidRDefault="00915FE2" w:rsidP="003A63CD">
      <w:pPr>
        <w:spacing w:after="100" w:afterAutospacing="1" w:line="276" w:lineRule="auto"/>
      </w:pPr>
      <w:r>
        <w:t>Oltre al dato letterale, la Corte</w:t>
      </w:r>
      <w:r w:rsidR="00FF56BD">
        <w:t xml:space="preserve"> territoriale</w:t>
      </w:r>
      <w:r>
        <w:t xml:space="preserve"> richiama a supporto della propria decisione </w:t>
      </w:r>
      <w:r w:rsidR="006148B9" w:rsidRPr="003E0E82">
        <w:t>la coincidenza tra fattispecie penale ed amministrativa</w:t>
      </w:r>
      <w:r w:rsidR="00B0474D">
        <w:t xml:space="preserve"> </w:t>
      </w:r>
      <w:r>
        <w:t xml:space="preserve">nella condotta e </w:t>
      </w:r>
      <w:r w:rsidR="00B0474D">
        <w:t>perfino nella rubrica</w:t>
      </w:r>
      <w:r w:rsidR="006148B9" w:rsidRPr="003E0E82">
        <w:t xml:space="preserve">, che nel caso delle informazioni privilegiate arriva al grado di completa </w:t>
      </w:r>
      <w:r>
        <w:t>sovrapponibilità delle condotte.</w:t>
      </w:r>
      <w:r w:rsidR="006148B9" w:rsidRPr="003E0E82">
        <w:t xml:space="preserve"> Il rischio paventato è </w:t>
      </w:r>
      <w:r w:rsidR="006148B9">
        <w:t>che solo la fattispecie ritenuta speciale risulterebbe in concreto applicata, mentre l’altra sarebbe stata prevista invano.</w:t>
      </w:r>
    </w:p>
    <w:p w14:paraId="161448DA" w14:textId="51501A9D" w:rsidR="00367EE8" w:rsidRDefault="00BB5E5A" w:rsidP="003A63CD">
      <w:pPr>
        <w:pStyle w:val="Titolo2"/>
        <w:spacing w:after="100" w:afterAutospacing="1"/>
      </w:pPr>
      <w:bookmarkStart w:id="6" w:name="_Toc277195431"/>
      <w:r>
        <w:t xml:space="preserve">Il </w:t>
      </w:r>
      <w:r w:rsidR="00480065">
        <w:t>doppio binario</w:t>
      </w:r>
      <w:r>
        <w:t xml:space="preserve"> </w:t>
      </w:r>
      <w:r w:rsidR="00480065">
        <w:t xml:space="preserve">al vaglio della </w:t>
      </w:r>
      <w:r w:rsidR="00367EE8" w:rsidRPr="009B0AFD">
        <w:t>C</w:t>
      </w:r>
      <w:r w:rsidR="00480065">
        <w:t xml:space="preserve">orte </w:t>
      </w:r>
      <w:r w:rsidR="00367EE8" w:rsidRPr="009B0AFD">
        <w:t>EDU</w:t>
      </w:r>
      <w:r w:rsidR="00480065">
        <w:t>. Il caso Grande Stevens</w:t>
      </w:r>
      <w:bookmarkEnd w:id="6"/>
    </w:p>
    <w:p w14:paraId="74A2B935" w14:textId="6A622132" w:rsidR="008E611A" w:rsidRDefault="00C66DF0" w:rsidP="003A63CD">
      <w:pPr>
        <w:spacing w:after="100" w:afterAutospacing="1" w:line="276" w:lineRule="auto"/>
      </w:pPr>
      <w:r>
        <w:t xml:space="preserve">Da ultimo, la questione si è riproposta ed ha trovato soluzione </w:t>
      </w:r>
      <w:r w:rsidR="00012A6F">
        <w:t xml:space="preserve">stabile </w:t>
      </w:r>
      <w:r>
        <w:t xml:space="preserve">nella </w:t>
      </w:r>
      <w:r w:rsidR="00012A6F">
        <w:t>sentenza</w:t>
      </w:r>
      <w:r>
        <w:t xml:space="preserve"> della Corte EDU relati</w:t>
      </w:r>
      <w:r w:rsidR="00012A6F">
        <w:t>vamente al caso Grande Stevens.</w:t>
      </w:r>
    </w:p>
    <w:p w14:paraId="07358E59" w14:textId="3C069C89" w:rsidR="00012A6F" w:rsidRDefault="00012A6F" w:rsidP="003A63CD">
      <w:pPr>
        <w:spacing w:after="100" w:afterAutospacing="1" w:line="276" w:lineRule="auto"/>
      </w:pPr>
      <w:r>
        <w:t xml:space="preserve">La pronuncia nasce dalle vicende del c.d. “caso </w:t>
      </w:r>
      <w:r w:rsidR="00C32F9D">
        <w:t>FIAT</w:t>
      </w:r>
      <w:r>
        <w:t xml:space="preserve">”, con </w:t>
      </w:r>
      <w:r w:rsidR="00C32F9D">
        <w:t>cui tale azienda</w:t>
      </w:r>
      <w:r w:rsidR="00E02495">
        <w:t>, controllata da EXOR</w:t>
      </w:r>
      <w:r w:rsidR="00C32F9D">
        <w:t xml:space="preserve"> e</w:t>
      </w:r>
      <w:r w:rsidR="00E02495">
        <w:t xml:space="preserve"> parte del</w:t>
      </w:r>
      <w:r w:rsidR="003244FE">
        <w:t xml:space="preserve"> c.d. gruppo Agnelli, </w:t>
      </w:r>
      <w:r w:rsidR="005415BE">
        <w:t>ottenne nel 2002 un prestito dalle banche</w:t>
      </w:r>
      <w:r w:rsidR="00C32F9D">
        <w:t>.</w:t>
      </w:r>
      <w:r w:rsidR="005415BE">
        <w:t xml:space="preserve"> </w:t>
      </w:r>
      <w:r w:rsidR="00C32F9D">
        <w:t>I</w:t>
      </w:r>
      <w:r w:rsidR="005415BE">
        <w:t xml:space="preserve">n caso di mancato rimborso alla data di scadenza, prevista per il 20 settembre 2005, </w:t>
      </w:r>
      <w:r w:rsidR="00C32F9D">
        <w:t xml:space="preserve">tale prestito </w:t>
      </w:r>
      <w:r w:rsidR="005415BE">
        <w:t>si sarebbe convertito in azioni</w:t>
      </w:r>
      <w:r w:rsidR="00526111">
        <w:t xml:space="preserve"> (c.d. convertendo)</w:t>
      </w:r>
      <w:r w:rsidR="00FC41AE">
        <w:rPr>
          <w:rStyle w:val="Rimandonotaapidipagina"/>
        </w:rPr>
        <w:footnoteReference w:id="51"/>
      </w:r>
      <w:r w:rsidR="005415BE">
        <w:t>. Così l’assemblea straordinaria di FIAT del 12 settembre 2002 autorizzò il Consiglio d’amministrazione a provvedere all’aumento di capitale al fine di poter adempiere in caso di conversione del suddetto prestito.</w:t>
      </w:r>
    </w:p>
    <w:p w14:paraId="2DE82D31" w14:textId="136415B3" w:rsidR="005415BE" w:rsidRDefault="005415BE" w:rsidP="003A63CD">
      <w:pPr>
        <w:spacing w:after="100" w:afterAutospacing="1" w:line="276" w:lineRule="auto"/>
      </w:pPr>
      <w:r>
        <w:t xml:space="preserve">Stante la difficile situazione finanziaria </w:t>
      </w:r>
      <w:r w:rsidR="00A43C9A">
        <w:t>di FIAT</w:t>
      </w:r>
      <w:r>
        <w:t xml:space="preserve"> in quel periodo, risultava altamente improbabile che </w:t>
      </w:r>
      <w:r w:rsidR="00A43C9A">
        <w:t>essa riuscisse a ripagare il prestito delle banche. D’altro canto, l’impossibilità di restituirlo avrebbe</w:t>
      </w:r>
      <w:r w:rsidR="003B7E67">
        <w:t xml:space="preserve"> portato le banche a detenere una partecipazione del 28%, mentre l’aumento di capitale avrebbe</w:t>
      </w:r>
      <w:r w:rsidR="00A43C9A">
        <w:t xml:space="preserve"> provocato una diluizione della partecipazione del gruppo Agnelli in FIAT, che s</w:t>
      </w:r>
      <w:r w:rsidR="00526111">
        <w:t>arebbe scesa dal 30,6% al 22,7%, con cons</w:t>
      </w:r>
      <w:r w:rsidR="00A43C9A">
        <w:t>egu</w:t>
      </w:r>
      <w:r w:rsidR="00526111">
        <w:t>ente</w:t>
      </w:r>
      <w:r w:rsidR="00A43C9A">
        <w:t xml:space="preserve"> perdita del controllo dell’azie</w:t>
      </w:r>
      <w:r w:rsidR="00526111">
        <w:t>nda.</w:t>
      </w:r>
      <w:r w:rsidR="00A43C9A">
        <w:t xml:space="preserve"> </w:t>
      </w:r>
      <w:r w:rsidR="00526111">
        <w:t xml:space="preserve">Il </w:t>
      </w:r>
      <w:r w:rsidR="00A43C9A">
        <w:t>controllo</w:t>
      </w:r>
      <w:r w:rsidR="00526111">
        <w:t xml:space="preserve"> di una società,</w:t>
      </w:r>
      <w:r w:rsidR="00A43C9A">
        <w:t xml:space="preserve"> che nel mercato ita</w:t>
      </w:r>
      <w:r w:rsidR="00526111">
        <w:t>liano generalmente si considera una quota sopra il 30% della partecipazione al capitale azionario, permette di fatto di impedire qualsiasi sua scalata e comporta un sostanziale diritto di veto su qualsiasi operazione di fusione, scissione o aumento di capitale.</w:t>
      </w:r>
    </w:p>
    <w:p w14:paraId="7D01DC9E" w14:textId="3BEF670A" w:rsidR="00454EBD" w:rsidRPr="007F70E4" w:rsidRDefault="00454EBD" w:rsidP="003A63CD">
      <w:pPr>
        <w:spacing w:after="100" w:afterAutospacing="1" w:line="276" w:lineRule="auto"/>
      </w:pPr>
      <w:r>
        <w:t xml:space="preserve">Il gruppo Agnelli, intenzionato a rimanere azionista di riferimento di FIAT, si mise allora in contatto </w:t>
      </w:r>
      <w:r w:rsidR="00E02495">
        <w:t xml:space="preserve">con la banca Merril Lynch, con cui concluse un contratto di </w:t>
      </w:r>
      <w:r w:rsidR="00E02495" w:rsidRPr="00AE4F90">
        <w:rPr>
          <w:i/>
        </w:rPr>
        <w:t>equity swap</w:t>
      </w:r>
      <w:r w:rsidR="00AE4F90">
        <w:rPr>
          <w:rStyle w:val="Rimandonotaapidipagina"/>
        </w:rPr>
        <w:footnoteReference w:id="52"/>
      </w:r>
      <w:r w:rsidR="00E02495">
        <w:t xml:space="preserve"> in base al qu</w:t>
      </w:r>
      <w:r w:rsidR="00E02495" w:rsidRPr="007F70E4">
        <w:t>ale la diluizione della partecipazione al capitale sarebbe stata compensata da un corrispondente acquisto di titoli sul mercato da parte della banca</w:t>
      </w:r>
      <w:r w:rsidR="007F70E4" w:rsidRPr="007F70E4">
        <w:t>. Questi verranno poi ceduti al gruppo Agnelli, che così manterrà il controllo della FIAT nonostante l’azienda non sia riuscita a restituire il prestito convertendo alle banche.</w:t>
      </w:r>
    </w:p>
    <w:p w14:paraId="763BB947" w14:textId="21C844DB" w:rsidR="00EE7028" w:rsidRDefault="007F70E4" w:rsidP="003A63CD">
      <w:pPr>
        <w:autoSpaceDE w:val="0"/>
        <w:autoSpaceDN w:val="0"/>
        <w:adjustRightInd w:val="0"/>
        <w:spacing w:after="100" w:afterAutospacing="1" w:line="276" w:lineRule="auto"/>
        <w:rPr>
          <w:rFonts w:cs="Times New Roman"/>
        </w:rPr>
      </w:pPr>
      <w:r w:rsidRPr="007F70E4">
        <w:t xml:space="preserve">Il fatto oggetto di contestazione risulta il comunicato stampa del 23 agosto 2005, con cui la FIAT dava seguito alla richiesta della </w:t>
      </w:r>
      <w:r w:rsidR="00EE7028" w:rsidRPr="007F70E4">
        <w:t>CONSOB di fornire informazioni al mercato circa la sue intenzioni in vista della scadenza del prestito convertendo</w:t>
      </w:r>
      <w:r w:rsidRPr="007F70E4">
        <w:t xml:space="preserve"> a seguito delle fluttuazioni del titolo sul mercato. </w:t>
      </w:r>
      <w:r>
        <w:t>IFIL, socie</w:t>
      </w:r>
      <w:r w:rsidR="00AA12B6">
        <w:t>tà del gruppo Agnelli, in tale occasione comunicò di</w:t>
      </w:r>
      <w:r w:rsidRPr="007F70E4">
        <w:t xml:space="preserve"> </w:t>
      </w:r>
      <w:r w:rsidRPr="00AA12B6">
        <w:rPr>
          <w:rFonts w:cs="Times New Roman"/>
          <w:i/>
        </w:rPr>
        <w:t>«non aver intrapreso né studiato alcuna iniziativa in relazione alla scadenza del prestito convertendo»</w:t>
      </w:r>
      <w:r w:rsidRPr="007F70E4">
        <w:rPr>
          <w:rFonts w:cs="Times New Roman"/>
        </w:rPr>
        <w:t xml:space="preserve"> e che intendeva </w:t>
      </w:r>
      <w:r w:rsidRPr="00AA12B6">
        <w:rPr>
          <w:rFonts w:cs="Times New Roman"/>
          <w:i/>
        </w:rPr>
        <w:t xml:space="preserve">«rimanere azionista di riferimento di </w:t>
      </w:r>
      <w:r w:rsidR="00AA12B6">
        <w:rPr>
          <w:rFonts w:cs="Times New Roman"/>
          <w:i/>
        </w:rPr>
        <w:t>FIAT</w:t>
      </w:r>
      <w:r w:rsidRPr="00AA12B6">
        <w:rPr>
          <w:rFonts w:cs="Times New Roman"/>
          <w:i/>
        </w:rPr>
        <w:t>»</w:t>
      </w:r>
      <w:r w:rsidRPr="007F70E4">
        <w:rPr>
          <w:rFonts w:cs="Times New Roman"/>
        </w:rPr>
        <w:t>.</w:t>
      </w:r>
    </w:p>
    <w:p w14:paraId="7AB11EB2" w14:textId="77777777" w:rsidR="00EC68E1" w:rsidRDefault="00AA12B6" w:rsidP="003A63CD">
      <w:pPr>
        <w:autoSpaceDE w:val="0"/>
        <w:autoSpaceDN w:val="0"/>
        <w:adjustRightInd w:val="0"/>
        <w:spacing w:after="100" w:afterAutospacing="1" w:line="276" w:lineRule="auto"/>
        <w:rPr>
          <w:rFonts w:cs="Times New Roman"/>
        </w:rPr>
      </w:pPr>
      <w:r>
        <w:rPr>
          <w:rFonts w:cs="Times New Roman"/>
        </w:rPr>
        <w:t xml:space="preserve">Tale comunicato stampa fu ritenuto falso da parte della CONSOB, perché le trattative con Merril Lynch erano già in corso a quella data e quindi un’iniziativa con riferimento al convertendo era stata studiata. </w:t>
      </w:r>
    </w:p>
    <w:p w14:paraId="7FAB65EF" w14:textId="3F640661" w:rsidR="00AA12B6" w:rsidRDefault="00EB12B4" w:rsidP="003A63CD">
      <w:pPr>
        <w:autoSpaceDE w:val="0"/>
        <w:autoSpaceDN w:val="0"/>
        <w:adjustRightInd w:val="0"/>
        <w:spacing w:after="100" w:afterAutospacing="1" w:line="276" w:lineRule="auto"/>
        <w:rPr>
          <w:rFonts w:cs="Times New Roman"/>
        </w:rPr>
      </w:pPr>
      <w:r>
        <w:rPr>
          <w:rFonts w:cs="Times New Roman"/>
        </w:rPr>
        <w:t xml:space="preserve">A seguito della procedura descritta dall’art. 187 </w:t>
      </w:r>
      <w:r w:rsidRPr="00EB12B4">
        <w:rPr>
          <w:rFonts w:cs="Times New Roman"/>
          <w:i/>
        </w:rPr>
        <w:t>septies</w:t>
      </w:r>
      <w:r>
        <w:rPr>
          <w:rFonts w:cs="Times New Roman"/>
        </w:rPr>
        <w:t xml:space="preserve"> del T.U.F., la</w:t>
      </w:r>
      <w:r w:rsidR="00AA12B6">
        <w:rPr>
          <w:rFonts w:cs="Times New Roman"/>
        </w:rPr>
        <w:t xml:space="preserve"> CONSOB applicò le sanzioni amministrative previste per la manipolazione del mercato</w:t>
      </w:r>
      <w:r>
        <w:rPr>
          <w:rFonts w:cs="Times New Roman"/>
        </w:rPr>
        <w:t xml:space="preserve">, le quali furono </w:t>
      </w:r>
      <w:r w:rsidR="00A81A13">
        <w:rPr>
          <w:rFonts w:cs="Times New Roman"/>
        </w:rPr>
        <w:t xml:space="preserve">confermate nel giudizio di </w:t>
      </w:r>
      <w:r w:rsidR="00EC68E1">
        <w:rPr>
          <w:rFonts w:cs="Times New Roman"/>
        </w:rPr>
        <w:t>opposizione avanti alla Corte d’Appello</w:t>
      </w:r>
      <w:r w:rsidR="0041551C">
        <w:rPr>
          <w:rStyle w:val="Rimandonotaapidipagina"/>
          <w:rFonts w:cs="Times New Roman"/>
        </w:rPr>
        <w:footnoteReference w:id="53"/>
      </w:r>
      <w:r w:rsidR="00EC68E1">
        <w:rPr>
          <w:rFonts w:cs="Times New Roman"/>
        </w:rPr>
        <w:t xml:space="preserve"> e quindi alla Corte di Cassazione</w:t>
      </w:r>
      <w:r w:rsidR="00342096">
        <w:rPr>
          <w:rStyle w:val="Rimandonotaapidipagina"/>
          <w:rFonts w:cs="Times New Roman"/>
        </w:rPr>
        <w:footnoteReference w:id="54"/>
      </w:r>
      <w:r w:rsidR="00EC68E1">
        <w:rPr>
          <w:rFonts w:cs="Times New Roman"/>
        </w:rPr>
        <w:t>,</w:t>
      </w:r>
      <w:r w:rsidR="00AA12B6">
        <w:rPr>
          <w:rFonts w:cs="Times New Roman"/>
        </w:rPr>
        <w:t xml:space="preserve"> </w:t>
      </w:r>
      <w:r w:rsidR="00FF56BD">
        <w:rPr>
          <w:rFonts w:cs="Times New Roman"/>
        </w:rPr>
        <w:t>ch</w:t>
      </w:r>
      <w:r w:rsidR="00AA12B6">
        <w:rPr>
          <w:rFonts w:cs="Times New Roman"/>
        </w:rPr>
        <w:t>e trasmise gli atti alla procura della Repubblica di Torino.</w:t>
      </w:r>
    </w:p>
    <w:p w14:paraId="0B0E2DED" w14:textId="3E6FC0B5" w:rsidR="0023683F" w:rsidRDefault="00FF56BD" w:rsidP="003A63CD">
      <w:pPr>
        <w:autoSpaceDE w:val="0"/>
        <w:autoSpaceDN w:val="0"/>
        <w:adjustRightInd w:val="0"/>
        <w:spacing w:after="100" w:afterAutospacing="1" w:line="276" w:lineRule="auto"/>
        <w:rPr>
          <w:rFonts w:cs="Times New Roman"/>
        </w:rPr>
      </w:pPr>
      <w:r>
        <w:rPr>
          <w:rFonts w:cs="Times New Roman"/>
        </w:rPr>
        <w:t>N</w:t>
      </w:r>
      <w:r w:rsidR="00AA12B6">
        <w:rPr>
          <w:rFonts w:cs="Times New Roman"/>
        </w:rPr>
        <w:t xml:space="preserve">el successivo procedimento penale gli imputati </w:t>
      </w:r>
      <w:r w:rsidR="009B2A60">
        <w:rPr>
          <w:rFonts w:cs="Times New Roman"/>
        </w:rPr>
        <w:t>proposero una</w:t>
      </w:r>
      <w:r w:rsidR="000C2F9F">
        <w:rPr>
          <w:rFonts w:cs="Times New Roman"/>
        </w:rPr>
        <w:t xml:space="preserve"> questione di legittimità costituzionale per contrasto dell’art. 649 c.p.p.</w:t>
      </w:r>
      <w:r w:rsidR="00476452" w:rsidRPr="00476452">
        <w:rPr>
          <w:rStyle w:val="Rimandonotaapidipagina"/>
          <w:rFonts w:cs="Times New Roman"/>
        </w:rPr>
        <w:t xml:space="preserve"> </w:t>
      </w:r>
      <w:r w:rsidR="00476452">
        <w:rPr>
          <w:rStyle w:val="Rimandonotaapidipagina"/>
          <w:rFonts w:cs="Times New Roman"/>
        </w:rPr>
        <w:footnoteReference w:id="55"/>
      </w:r>
      <w:r w:rsidR="000C2F9F">
        <w:rPr>
          <w:rFonts w:cs="Times New Roman"/>
        </w:rPr>
        <w:t xml:space="preserve"> e degli artt. 185 e 187 </w:t>
      </w:r>
      <w:r w:rsidR="000C2F9F" w:rsidRPr="00476452">
        <w:rPr>
          <w:rFonts w:cs="Times New Roman"/>
          <w:i/>
        </w:rPr>
        <w:t>ter</w:t>
      </w:r>
      <w:r w:rsidR="000C2F9F">
        <w:rPr>
          <w:rFonts w:cs="Times New Roman"/>
        </w:rPr>
        <w:t xml:space="preserve"> del TUF con l’art. 4</w:t>
      </w:r>
      <w:r w:rsidR="00202269">
        <w:rPr>
          <w:rFonts w:cs="Times New Roman"/>
        </w:rPr>
        <w:t>, primo comma,</w:t>
      </w:r>
      <w:r w:rsidR="000C2F9F">
        <w:rPr>
          <w:rFonts w:cs="Times New Roman"/>
        </w:rPr>
        <w:t xml:space="preserve"> del</w:t>
      </w:r>
      <w:r w:rsidR="00CF4119">
        <w:rPr>
          <w:rFonts w:cs="Times New Roman"/>
        </w:rPr>
        <w:t xml:space="preserve"> settimo</w:t>
      </w:r>
      <w:r w:rsidR="000C2F9F">
        <w:rPr>
          <w:rFonts w:cs="Times New Roman"/>
        </w:rPr>
        <w:t xml:space="preserve"> Protocollo </w:t>
      </w:r>
      <w:r w:rsidR="00202269">
        <w:rPr>
          <w:rFonts w:cs="Times New Roman"/>
        </w:rPr>
        <w:t>della Convenzione EDU</w:t>
      </w:r>
      <w:r w:rsidR="00202269">
        <w:rPr>
          <w:rStyle w:val="Rimandonotaapidipagina"/>
          <w:rFonts w:cs="Times New Roman"/>
        </w:rPr>
        <w:footnoteReference w:id="56"/>
      </w:r>
      <w:r w:rsidR="00202269">
        <w:rPr>
          <w:rFonts w:cs="Times New Roman"/>
        </w:rPr>
        <w:t>.</w:t>
      </w:r>
      <w:r w:rsidR="009B2A60">
        <w:rPr>
          <w:rFonts w:cs="Times New Roman"/>
        </w:rPr>
        <w:t xml:space="preserve"> La questione non fu però sollevata </w:t>
      </w:r>
      <w:r w:rsidR="00141407">
        <w:rPr>
          <w:rFonts w:cs="Times New Roman"/>
        </w:rPr>
        <w:t>d</w:t>
      </w:r>
      <w:r>
        <w:rPr>
          <w:rFonts w:cs="Times New Roman"/>
        </w:rPr>
        <w:t xml:space="preserve">al Tribunale, che la ritenne </w:t>
      </w:r>
      <w:r w:rsidR="00141407">
        <w:rPr>
          <w:rFonts w:cs="Times New Roman"/>
        </w:rPr>
        <w:t>manifestamente infondata.</w:t>
      </w:r>
    </w:p>
    <w:p w14:paraId="28D80737" w14:textId="4E536529" w:rsidR="00E737D4" w:rsidRDefault="00E737D4" w:rsidP="003A63CD">
      <w:pPr>
        <w:autoSpaceDE w:val="0"/>
        <w:autoSpaceDN w:val="0"/>
        <w:adjustRightInd w:val="0"/>
        <w:spacing w:after="100" w:afterAutospacing="1" w:line="276" w:lineRule="auto"/>
        <w:rPr>
          <w:rFonts w:cs="Times New Roman"/>
        </w:rPr>
      </w:pPr>
      <w:r>
        <w:rPr>
          <w:rFonts w:cs="Times New Roman"/>
        </w:rPr>
        <w:t>Il Tribunale distinse gli illeciti sulla base degli elementi già richiamati dalla Corte</w:t>
      </w:r>
      <w:r w:rsidR="00DF1610">
        <w:rPr>
          <w:rFonts w:cs="Times New Roman"/>
        </w:rPr>
        <w:t xml:space="preserve"> di Cassazione nella sentenza </w:t>
      </w:r>
      <w:r w:rsidR="00DF1610" w:rsidRPr="006469E2">
        <w:t>n. 15199</w:t>
      </w:r>
      <w:r w:rsidR="00DF1610">
        <w:t xml:space="preserve"> del</w:t>
      </w:r>
      <w:r w:rsidR="00DF1610" w:rsidRPr="006469E2">
        <w:t xml:space="preserve"> 16 marzo 2006</w:t>
      </w:r>
      <w:r>
        <w:rPr>
          <w:rFonts w:cs="Times New Roman"/>
        </w:rPr>
        <w:t>, tra cui la concreta idoneità ad alterare il prezzo e l’imputazione soggettiva per dolo. Così, a</w:t>
      </w:r>
      <w:r w:rsidR="00DA69A1">
        <w:rPr>
          <w:rFonts w:cs="Times New Roman"/>
        </w:rPr>
        <w:t>nalizzando</w:t>
      </w:r>
      <w:r w:rsidR="00141407">
        <w:rPr>
          <w:rFonts w:cs="Times New Roman"/>
        </w:rPr>
        <w:t xml:space="preserve"> la giurisprudenza della Corte EDU, il Tribunale </w:t>
      </w:r>
      <w:r>
        <w:rPr>
          <w:rFonts w:cs="Times New Roman"/>
        </w:rPr>
        <w:t>interpretò</w:t>
      </w:r>
      <w:r w:rsidR="00141407">
        <w:rPr>
          <w:rFonts w:cs="Times New Roman"/>
        </w:rPr>
        <w:t xml:space="preserve"> </w:t>
      </w:r>
      <w:r w:rsidR="00DA69A1">
        <w:rPr>
          <w:rFonts w:cs="Times New Roman"/>
        </w:rPr>
        <w:t xml:space="preserve">il </w:t>
      </w:r>
      <w:r w:rsidR="00635EC7">
        <w:rPr>
          <w:rFonts w:cs="Times New Roman"/>
        </w:rPr>
        <w:t>principio</w:t>
      </w:r>
      <w:r w:rsidR="00DA69A1">
        <w:rPr>
          <w:rFonts w:cs="Times New Roman"/>
        </w:rPr>
        <w:t xml:space="preserve"> d</w:t>
      </w:r>
      <w:r w:rsidR="00635EC7">
        <w:rPr>
          <w:rFonts w:cs="Times New Roman"/>
        </w:rPr>
        <w:t>el</w:t>
      </w:r>
      <w:r w:rsidR="00DA69A1">
        <w:rPr>
          <w:rFonts w:cs="Times New Roman"/>
        </w:rPr>
        <w:t xml:space="preserve"> </w:t>
      </w:r>
      <w:r w:rsidR="00DA69A1" w:rsidRPr="000E434C">
        <w:rPr>
          <w:rFonts w:cs="Times New Roman"/>
          <w:i/>
        </w:rPr>
        <w:t>bis in idem</w:t>
      </w:r>
      <w:r w:rsidR="00F64DE1">
        <w:rPr>
          <w:rFonts w:cs="Times New Roman"/>
        </w:rPr>
        <w:t xml:space="preserve"> </w:t>
      </w:r>
      <w:r>
        <w:rPr>
          <w:rFonts w:cs="Times New Roman"/>
        </w:rPr>
        <w:t xml:space="preserve">nel senso che esso fosse </w:t>
      </w:r>
      <w:r w:rsidR="00F64DE1">
        <w:rPr>
          <w:rFonts w:cs="Times New Roman"/>
        </w:rPr>
        <w:t>limitato a</w:t>
      </w:r>
      <w:r w:rsidR="00DA69A1">
        <w:rPr>
          <w:rFonts w:cs="Times New Roman"/>
        </w:rPr>
        <w:t xml:space="preserve">l divieto di prevedere una doppia </w:t>
      </w:r>
      <w:r w:rsidR="002C2F0D">
        <w:rPr>
          <w:rFonts w:cs="Times New Roman"/>
        </w:rPr>
        <w:t xml:space="preserve">sanzione </w:t>
      </w:r>
      <w:r>
        <w:rPr>
          <w:rFonts w:cs="Times New Roman"/>
        </w:rPr>
        <w:t>e</w:t>
      </w:r>
      <w:r w:rsidR="006706F6">
        <w:rPr>
          <w:rFonts w:cs="Times New Roman"/>
        </w:rPr>
        <w:t>/o</w:t>
      </w:r>
      <w:r>
        <w:rPr>
          <w:rFonts w:cs="Times New Roman"/>
        </w:rPr>
        <w:t xml:space="preserve"> un doppio procedimento penale</w:t>
      </w:r>
      <w:r w:rsidR="006706F6">
        <w:rPr>
          <w:rFonts w:cs="Times New Roman"/>
        </w:rPr>
        <w:t xml:space="preserve"> per i medesimi fatti</w:t>
      </w:r>
      <w:r w:rsidR="002C2F0D">
        <w:rPr>
          <w:rFonts w:cs="Times New Roman"/>
        </w:rPr>
        <w:t xml:space="preserve">. </w:t>
      </w:r>
    </w:p>
    <w:p w14:paraId="0A80204D" w14:textId="07AB2619" w:rsidR="00141407" w:rsidRDefault="002C2F0D" w:rsidP="003A63CD">
      <w:pPr>
        <w:autoSpaceDE w:val="0"/>
        <w:autoSpaceDN w:val="0"/>
        <w:adjustRightInd w:val="0"/>
        <w:spacing w:after="100" w:afterAutospacing="1" w:line="276" w:lineRule="auto"/>
        <w:rPr>
          <w:rFonts w:cs="Times New Roman"/>
        </w:rPr>
      </w:pPr>
      <w:r>
        <w:rPr>
          <w:rFonts w:cs="Times New Roman"/>
        </w:rPr>
        <w:t>In tal senso rit</w:t>
      </w:r>
      <w:r w:rsidR="00FF56BD">
        <w:rPr>
          <w:rFonts w:cs="Times New Roman"/>
        </w:rPr>
        <w:t>enne</w:t>
      </w:r>
      <w:r>
        <w:rPr>
          <w:rFonts w:cs="Times New Roman"/>
        </w:rPr>
        <w:t xml:space="preserve"> sufficiente applicare l’art. 187 </w:t>
      </w:r>
      <w:r w:rsidRPr="00BE7956">
        <w:rPr>
          <w:rFonts w:cs="Times New Roman"/>
          <w:i/>
        </w:rPr>
        <w:t>terdecies</w:t>
      </w:r>
      <w:r>
        <w:rPr>
          <w:rFonts w:cs="Times New Roman"/>
        </w:rPr>
        <w:t xml:space="preserve"> del T.U.F. il quale, </w:t>
      </w:r>
      <w:r w:rsidRPr="00BE7956">
        <w:rPr>
          <w:rFonts w:cs="Times New Roman"/>
          <w:i/>
        </w:rPr>
        <w:t>«stabilendo l'esigibilità della pena pecuniaria dipendente da reato nei limiti della parte eccedente quella riscossa dall'autorità amministrativa»</w:t>
      </w:r>
      <w:r w:rsidR="000E434C" w:rsidRPr="000E434C">
        <w:rPr>
          <w:rStyle w:val="Rimandonotaapidipagina"/>
          <w:rFonts w:cs="Times New Roman"/>
        </w:rPr>
        <w:footnoteReference w:id="57"/>
      </w:r>
      <w:r>
        <w:rPr>
          <w:rFonts w:cs="Times New Roman"/>
        </w:rPr>
        <w:t>, rispetterebbe il principio di proporzione</w:t>
      </w:r>
      <w:r w:rsidR="00BE7956">
        <w:rPr>
          <w:rFonts w:cs="Times New Roman"/>
        </w:rPr>
        <w:t xml:space="preserve"> e </w:t>
      </w:r>
      <w:r w:rsidR="00BE7956" w:rsidRPr="00DA69A1">
        <w:rPr>
          <w:rFonts w:cs="Times New Roman"/>
        </w:rPr>
        <w:t xml:space="preserve">non </w:t>
      </w:r>
      <w:r w:rsidR="00FF56BD">
        <w:rPr>
          <w:rFonts w:cs="Times New Roman"/>
        </w:rPr>
        <w:t>presenterebbe</w:t>
      </w:r>
      <w:r w:rsidR="00BE7956">
        <w:rPr>
          <w:rFonts w:cs="Times New Roman"/>
        </w:rPr>
        <w:t xml:space="preserve"> dubbi di</w:t>
      </w:r>
      <w:r w:rsidR="00BE7956" w:rsidRPr="00DA69A1">
        <w:rPr>
          <w:rFonts w:cs="Times New Roman"/>
        </w:rPr>
        <w:t xml:space="preserve"> </w:t>
      </w:r>
      <w:r w:rsidR="00BE7956" w:rsidRPr="00BE7956">
        <w:rPr>
          <w:rFonts w:cs="Times New Roman"/>
          <w:i/>
        </w:rPr>
        <w:t>«legittimità del sistema del doppio binario e della doppia sanzione»</w:t>
      </w:r>
      <w:r w:rsidR="00BE7956">
        <w:rPr>
          <w:rFonts w:cs="Times New Roman"/>
        </w:rPr>
        <w:t>.</w:t>
      </w:r>
    </w:p>
    <w:p w14:paraId="47B9165C" w14:textId="534F630A" w:rsidR="000E434C" w:rsidRDefault="000E434C" w:rsidP="003A63CD">
      <w:pPr>
        <w:autoSpaceDE w:val="0"/>
        <w:autoSpaceDN w:val="0"/>
        <w:adjustRightInd w:val="0"/>
        <w:spacing w:after="100" w:afterAutospacing="1" w:line="276" w:lineRule="auto"/>
        <w:rPr>
          <w:rFonts w:cs="Times New Roman"/>
        </w:rPr>
      </w:pPr>
      <w:r>
        <w:rPr>
          <w:rFonts w:cs="Times New Roman"/>
        </w:rPr>
        <w:t xml:space="preserve">Il Tribunale </w:t>
      </w:r>
      <w:r w:rsidR="002B73FA">
        <w:rPr>
          <w:rFonts w:cs="Times New Roman"/>
        </w:rPr>
        <w:t xml:space="preserve">però </w:t>
      </w:r>
      <w:r w:rsidR="00EB12B4">
        <w:rPr>
          <w:rFonts w:cs="Times New Roman"/>
        </w:rPr>
        <w:t xml:space="preserve">non </w:t>
      </w:r>
      <w:r w:rsidR="002B73FA">
        <w:rPr>
          <w:rFonts w:cs="Times New Roman"/>
        </w:rPr>
        <w:t>condann</w:t>
      </w:r>
      <w:r w:rsidR="00EB12B4">
        <w:rPr>
          <w:rFonts w:cs="Times New Roman"/>
        </w:rPr>
        <w:t>ò</w:t>
      </w:r>
      <w:r w:rsidR="00AF677C">
        <w:rPr>
          <w:rFonts w:cs="Times New Roman"/>
        </w:rPr>
        <w:t xml:space="preserve"> gli imputati per mancanza della prova della concreta idoneità ad alterare il prezzo dei titoli FIAT nella loro condotta. La sentenza, impugnata </w:t>
      </w:r>
      <w:r w:rsidR="00AF677C" w:rsidRPr="00C57EDB">
        <w:rPr>
          <w:rFonts w:cs="Times New Roman"/>
          <w:i/>
        </w:rPr>
        <w:t>per saltum</w:t>
      </w:r>
      <w:r w:rsidR="00AF677C">
        <w:rPr>
          <w:rFonts w:cs="Times New Roman"/>
        </w:rPr>
        <w:t xml:space="preserve">, </w:t>
      </w:r>
      <w:r w:rsidR="00C57EDB">
        <w:rPr>
          <w:rFonts w:cs="Times New Roman"/>
        </w:rPr>
        <w:t>è stata riformata dalla Corte di Cassazione</w:t>
      </w:r>
      <w:r w:rsidR="00C57EDB">
        <w:rPr>
          <w:rStyle w:val="Rimandonotaapidipagina"/>
          <w:rFonts w:cs="Times New Roman"/>
        </w:rPr>
        <w:footnoteReference w:id="58"/>
      </w:r>
      <w:r w:rsidR="00C57EDB">
        <w:rPr>
          <w:rFonts w:cs="Times New Roman"/>
        </w:rPr>
        <w:t>, la quale ha ritenuto</w:t>
      </w:r>
      <w:r w:rsidR="006F7EE9">
        <w:rPr>
          <w:rFonts w:cs="Times New Roman"/>
        </w:rPr>
        <w:t xml:space="preserve"> che</w:t>
      </w:r>
      <w:r w:rsidR="006F7EE9" w:rsidRPr="006F7EE9">
        <w:rPr>
          <w:rFonts w:cs="Times New Roman"/>
        </w:rPr>
        <w:t xml:space="preserve"> </w:t>
      </w:r>
      <w:r w:rsidR="006F7EE9">
        <w:rPr>
          <w:rFonts w:cs="Times New Roman"/>
        </w:rPr>
        <w:t xml:space="preserve">nelle fattispecie a pericolo concreto, quale è quella enucleata dal </w:t>
      </w:r>
      <w:r w:rsidR="00B31C3E">
        <w:rPr>
          <w:rFonts w:cs="Times New Roman"/>
        </w:rPr>
        <w:t>legislatore</w:t>
      </w:r>
      <w:r w:rsidR="006F7EE9">
        <w:rPr>
          <w:rFonts w:cs="Times New Roman"/>
        </w:rPr>
        <w:t>,</w:t>
      </w:r>
      <w:r w:rsidR="00C57EDB">
        <w:rPr>
          <w:rFonts w:cs="Times New Roman"/>
        </w:rPr>
        <w:t xml:space="preserve"> </w:t>
      </w:r>
      <w:r w:rsidR="006F7EE9">
        <w:rPr>
          <w:rFonts w:cs="Times New Roman"/>
        </w:rPr>
        <w:t xml:space="preserve">vi sia una presunzione </w:t>
      </w:r>
      <w:r w:rsidR="006F7EE9" w:rsidRPr="006F7EE9">
        <w:rPr>
          <w:rFonts w:cs="Times New Roman"/>
          <w:i/>
        </w:rPr>
        <w:t>iuris tantum</w:t>
      </w:r>
      <w:r w:rsidR="006F7EE9">
        <w:rPr>
          <w:rFonts w:cs="Times New Roman"/>
        </w:rPr>
        <w:t xml:space="preserve"> di pericolosità.</w:t>
      </w:r>
    </w:p>
    <w:p w14:paraId="351AF0EC" w14:textId="1118001B" w:rsidR="006F7EE9" w:rsidRDefault="006F7EE9" w:rsidP="003A63CD">
      <w:pPr>
        <w:autoSpaceDE w:val="0"/>
        <w:autoSpaceDN w:val="0"/>
        <w:adjustRightInd w:val="0"/>
        <w:spacing w:after="100" w:afterAutospacing="1" w:line="276" w:lineRule="auto"/>
        <w:rPr>
          <w:rFonts w:cs="Times New Roman"/>
        </w:rPr>
      </w:pPr>
      <w:r>
        <w:rPr>
          <w:rFonts w:cs="Times New Roman"/>
        </w:rPr>
        <w:t>Riproposta avanti alla Corte d’Appello di Torino</w:t>
      </w:r>
      <w:r w:rsidR="003E4BEA">
        <w:rPr>
          <w:rStyle w:val="Rimandonotaapidipagina"/>
          <w:rFonts w:cs="Times New Roman"/>
        </w:rPr>
        <w:footnoteReference w:id="59"/>
      </w:r>
      <w:r>
        <w:rPr>
          <w:rFonts w:cs="Times New Roman"/>
        </w:rPr>
        <w:t xml:space="preserve">, a cui rinviava la Corte di Cassazione, la questione della violazione del principio del </w:t>
      </w:r>
      <w:r w:rsidRPr="00FF56BD">
        <w:rPr>
          <w:rFonts w:cs="Times New Roman"/>
          <w:i/>
        </w:rPr>
        <w:t>ne bis in idem</w:t>
      </w:r>
      <w:r>
        <w:rPr>
          <w:rFonts w:cs="Times New Roman"/>
        </w:rPr>
        <w:t xml:space="preserve"> venne nuovamente respinta. </w:t>
      </w:r>
      <w:r w:rsidR="003E4BEA">
        <w:rPr>
          <w:rFonts w:cs="Times New Roman"/>
        </w:rPr>
        <w:t>A tal proposito, la</w:t>
      </w:r>
      <w:r w:rsidR="00FF56BD">
        <w:rPr>
          <w:rFonts w:cs="Times New Roman"/>
        </w:rPr>
        <w:t xml:space="preserve"> Corte d’Appello di Torino si </w:t>
      </w:r>
      <w:r w:rsidR="003E4BEA">
        <w:rPr>
          <w:rFonts w:cs="Times New Roman"/>
        </w:rPr>
        <w:t>limit</w:t>
      </w:r>
      <w:r w:rsidR="00FF56BD">
        <w:rPr>
          <w:rFonts w:cs="Times New Roman"/>
        </w:rPr>
        <w:t>ò</w:t>
      </w:r>
      <w:r w:rsidR="003E4BEA">
        <w:rPr>
          <w:rFonts w:cs="Times New Roman"/>
        </w:rPr>
        <w:t xml:space="preserve"> a richiamare le argomentazioni esposte dal Tribunale in primo grado ed a condividerne le conclusioni</w:t>
      </w:r>
      <w:r w:rsidR="000344CA">
        <w:rPr>
          <w:rFonts w:cs="Times New Roman"/>
        </w:rPr>
        <w:t>, condannando soltanto Gabetti e Grande Stevens, i quali avevano organizzato l’operazione</w:t>
      </w:r>
      <w:r w:rsidR="003E4BEA">
        <w:rPr>
          <w:rFonts w:cs="Times New Roman"/>
        </w:rPr>
        <w:t>.</w:t>
      </w:r>
    </w:p>
    <w:p w14:paraId="581C4212" w14:textId="4CCE4FFF" w:rsidR="00893BFC" w:rsidRDefault="00D16C77" w:rsidP="003A63CD">
      <w:pPr>
        <w:autoSpaceDE w:val="0"/>
        <w:autoSpaceDN w:val="0"/>
        <w:adjustRightInd w:val="0"/>
        <w:spacing w:after="100" w:afterAutospacing="1" w:line="276" w:lineRule="auto"/>
        <w:rPr>
          <w:rFonts w:cs="Times New Roman"/>
        </w:rPr>
      </w:pPr>
      <w:r>
        <w:rPr>
          <w:rFonts w:cs="Times New Roman"/>
        </w:rPr>
        <w:t>Gli imputati</w:t>
      </w:r>
      <w:r w:rsidR="000344CA">
        <w:rPr>
          <w:rFonts w:cs="Times New Roman"/>
        </w:rPr>
        <w:t xml:space="preserve"> condannati</w:t>
      </w:r>
      <w:r w:rsidR="006D6E80">
        <w:rPr>
          <w:rFonts w:cs="Times New Roman"/>
        </w:rPr>
        <w:t xml:space="preserve"> dalla Corte d’Appello</w:t>
      </w:r>
      <w:r w:rsidR="000344CA">
        <w:rPr>
          <w:rFonts w:cs="Times New Roman"/>
        </w:rPr>
        <w:t xml:space="preserve"> ripr</w:t>
      </w:r>
      <w:r>
        <w:rPr>
          <w:rFonts w:cs="Times New Roman"/>
        </w:rPr>
        <w:t>oposero</w:t>
      </w:r>
      <w:r w:rsidR="000344CA">
        <w:rPr>
          <w:rFonts w:cs="Times New Roman"/>
        </w:rPr>
        <w:t xml:space="preserve"> la doglianza in </w:t>
      </w:r>
      <w:r w:rsidR="00DC192F">
        <w:rPr>
          <w:rFonts w:cs="Times New Roman"/>
        </w:rPr>
        <w:t xml:space="preserve">Cassazione. Nonostante nel </w:t>
      </w:r>
      <w:r w:rsidR="006D6E80">
        <w:rPr>
          <w:rFonts w:cs="Times New Roman"/>
        </w:rPr>
        <w:t xml:space="preserve">dicembre 2013 </w:t>
      </w:r>
      <w:r w:rsidR="00F41162">
        <w:rPr>
          <w:rFonts w:cs="Times New Roman"/>
        </w:rPr>
        <w:t>sia stata</w:t>
      </w:r>
      <w:r w:rsidR="00DC192F">
        <w:rPr>
          <w:rFonts w:cs="Times New Roman"/>
        </w:rPr>
        <w:t xml:space="preserve"> </w:t>
      </w:r>
      <w:r w:rsidR="006D6E80">
        <w:rPr>
          <w:rFonts w:cs="Times New Roman"/>
        </w:rPr>
        <w:t>dichiar</w:t>
      </w:r>
      <w:r w:rsidR="00DC192F">
        <w:rPr>
          <w:rFonts w:cs="Times New Roman"/>
        </w:rPr>
        <w:t>ata</w:t>
      </w:r>
      <w:r w:rsidR="006D6E80">
        <w:rPr>
          <w:rFonts w:cs="Times New Roman"/>
        </w:rPr>
        <w:t xml:space="preserve"> l’intervenuta prescrizione per i fatti ascritti</w:t>
      </w:r>
      <w:r w:rsidR="004E5A1B">
        <w:rPr>
          <w:rStyle w:val="Rimandonotaapidipagina"/>
          <w:rFonts w:cs="Times New Roman"/>
        </w:rPr>
        <w:footnoteReference w:id="60"/>
      </w:r>
      <w:r w:rsidR="00DC192F">
        <w:rPr>
          <w:rFonts w:cs="Times New Roman"/>
        </w:rPr>
        <w:t>, la Corte EDU, investita della questione già nel 2010, il 4 marzo 2014 si è pronunciata con</w:t>
      </w:r>
      <w:r w:rsidR="005D4539">
        <w:rPr>
          <w:rFonts w:cs="Times New Roman"/>
        </w:rPr>
        <w:t xml:space="preserve"> una sentenza che ha portato luce sul complesso sistema sanzionatorio delle manipolazioni del mercato</w:t>
      </w:r>
      <w:r w:rsidR="00DC192F">
        <w:rPr>
          <w:rStyle w:val="Rimandonotaapidipagina"/>
          <w:rFonts w:cs="Times New Roman"/>
        </w:rPr>
        <w:footnoteReference w:id="61"/>
      </w:r>
      <w:r w:rsidR="00DC192F">
        <w:rPr>
          <w:rFonts w:cs="Times New Roman"/>
        </w:rPr>
        <w:t>.</w:t>
      </w:r>
      <w:r w:rsidR="00902B7C">
        <w:rPr>
          <w:rFonts w:cs="Times New Roman"/>
        </w:rPr>
        <w:t xml:space="preserve"> Contro di essa l’Italia ha presentato domanda di rinvi</w:t>
      </w:r>
      <w:r w:rsidR="00F41162">
        <w:rPr>
          <w:rFonts w:cs="Times New Roman"/>
        </w:rPr>
        <w:t>o alla Grande Camera,</w:t>
      </w:r>
      <w:r w:rsidR="006A42FF">
        <w:rPr>
          <w:rFonts w:cs="Times New Roman"/>
        </w:rPr>
        <w:t xml:space="preserve"> respinta ai sensi dell’articolo 43 della Convenzione</w:t>
      </w:r>
      <w:r w:rsidR="00902B7C">
        <w:rPr>
          <w:rFonts w:cs="Times New Roman"/>
        </w:rPr>
        <w:t>, sancendo così la definitività della pronuncia</w:t>
      </w:r>
      <w:r w:rsidR="00902B7C">
        <w:rPr>
          <w:rStyle w:val="Rimandonotaapidipagina"/>
          <w:rFonts w:cs="Times New Roman"/>
        </w:rPr>
        <w:footnoteReference w:id="62"/>
      </w:r>
      <w:r w:rsidR="009C16A4">
        <w:rPr>
          <w:rFonts w:cs="Times New Roman"/>
        </w:rPr>
        <w:t xml:space="preserve"> e l’obbligo per l’Italia di conformarvisi.</w:t>
      </w:r>
    </w:p>
    <w:p w14:paraId="4F521E59" w14:textId="58ACED1D" w:rsidR="002925E0" w:rsidRDefault="00893BFC" w:rsidP="003A63CD">
      <w:pPr>
        <w:spacing w:after="100" w:afterAutospacing="1" w:line="276" w:lineRule="auto"/>
      </w:pPr>
      <w:r>
        <w:t xml:space="preserve">Le questioni affrontate dalla Corte EDU sono </w:t>
      </w:r>
      <w:r w:rsidR="002925E0">
        <w:t>la natura e l’equità del procedimento avanti alla CONSOB e la possibilità di iniziare un processo penale per fatti già sanzionati da quest’ultima. Per dichiarazione della stessa Corte, non vi sono precedenti</w:t>
      </w:r>
      <w:r w:rsidR="002B6103">
        <w:t>,</w:t>
      </w:r>
      <w:r w:rsidR="002925E0">
        <w:t xml:space="preserve"> almeno per quanto riguarda l’Italia</w:t>
      </w:r>
      <w:r w:rsidR="00F41162">
        <w:t>: quindi</w:t>
      </w:r>
      <w:r w:rsidR="002B6103">
        <w:t xml:space="preserve"> la</w:t>
      </w:r>
      <w:r w:rsidR="002925E0">
        <w:t xml:space="preserve"> Corte ha auspicato un valore orientativo della sentenza nei confronti dei giudici nazionali.</w:t>
      </w:r>
    </w:p>
    <w:p w14:paraId="6A3B2852" w14:textId="14E2F161" w:rsidR="00893BFC" w:rsidRDefault="00893BFC" w:rsidP="003A63CD">
      <w:pPr>
        <w:spacing w:after="100" w:afterAutospacing="1" w:line="276" w:lineRule="auto"/>
      </w:pPr>
      <w:r>
        <w:t xml:space="preserve">La prima </w:t>
      </w:r>
      <w:r w:rsidR="002925E0">
        <w:t>questione esaminata</w:t>
      </w:r>
      <w:r w:rsidR="00BF0250">
        <w:t xml:space="preserve"> dalla Corte</w:t>
      </w:r>
      <w:r w:rsidR="002925E0">
        <w:t xml:space="preserve"> </w:t>
      </w:r>
      <w:r>
        <w:t>è la</w:t>
      </w:r>
      <w:r w:rsidR="00BF0250">
        <w:t xml:space="preserve"> sussistenza di una </w:t>
      </w:r>
      <w:r w:rsidR="00AF54C9">
        <w:t>“</w:t>
      </w:r>
      <w:r w:rsidR="00BF0250">
        <w:t>accusa in materia penale</w:t>
      </w:r>
      <w:r w:rsidR="00AF54C9">
        <w:t>”</w:t>
      </w:r>
      <w:r>
        <w:t>.</w:t>
      </w:r>
      <w:r w:rsidR="00C61938">
        <w:t xml:space="preserve"> </w:t>
      </w:r>
      <w:r w:rsidR="00BF0250">
        <w:t>La Corte in proposito ha richiamato i</w:t>
      </w:r>
      <w:r w:rsidR="00AF54C9">
        <w:t xml:space="preserve"> cosiddetti </w:t>
      </w:r>
      <w:r w:rsidR="00AF54C9" w:rsidRPr="00AF54C9">
        <w:rPr>
          <w:i/>
        </w:rPr>
        <w:t>Engel</w:t>
      </w:r>
      <w:r w:rsidR="00BF0250" w:rsidRPr="00AF54C9">
        <w:rPr>
          <w:i/>
        </w:rPr>
        <w:t xml:space="preserve"> criteri</w:t>
      </w:r>
      <w:r w:rsidR="00AF54C9" w:rsidRPr="00AF54C9">
        <w:rPr>
          <w:i/>
        </w:rPr>
        <w:t>a</w:t>
      </w:r>
      <w:r w:rsidR="00AF54C9">
        <w:t>, elaborati in occasione dell’omonimo caso</w:t>
      </w:r>
      <w:r w:rsidR="00AF54C9">
        <w:rPr>
          <w:rStyle w:val="Rimandonotaapidipagina"/>
          <w:rFonts w:cs="Times New Roman"/>
        </w:rPr>
        <w:footnoteReference w:id="63"/>
      </w:r>
      <w:r w:rsidR="00AF54C9">
        <w:t xml:space="preserve"> ed utili per </w:t>
      </w:r>
      <w:r w:rsidR="00BF0250">
        <w:t>classificare gli illeciti</w:t>
      </w:r>
      <w:r w:rsidR="00AF54C9">
        <w:t xml:space="preserve"> come penali ovvero amministrativi</w:t>
      </w:r>
      <w:r w:rsidR="00E6755E">
        <w:t xml:space="preserve"> ai fini dell’applicazione della Convenzione</w:t>
      </w:r>
      <w:r w:rsidR="00AF54C9">
        <w:t>.</w:t>
      </w:r>
      <w:r w:rsidR="00767657">
        <w:t xml:space="preserve"> La Corte vuole così evitare che gli Stati possano eludere l’applicazione delle garanzie del diritto penale “mascherando</w:t>
      </w:r>
      <w:r w:rsidR="00A85411">
        <w:t>li</w:t>
      </w:r>
      <w:r w:rsidR="00767657">
        <w:t>” con una qualifica amministrativa,</w:t>
      </w:r>
      <w:r w:rsidR="00A85411">
        <w:t xml:space="preserve"> in quella che è stata definita da molti una “truffa delle etichette”</w:t>
      </w:r>
      <w:r w:rsidR="00E718A6">
        <w:rPr>
          <w:rStyle w:val="Rimandonotaapidipagina"/>
        </w:rPr>
        <w:footnoteReference w:id="64"/>
      </w:r>
      <w:r w:rsidR="00A85411">
        <w:t>.</w:t>
      </w:r>
      <w:r w:rsidR="00767657">
        <w:t xml:space="preserve"> </w:t>
      </w:r>
      <w:r w:rsidR="00E6755E">
        <w:t>Peraltro tali criteri potranno essere applicati non solo in via alternativa, ma anche cumulativamente</w:t>
      </w:r>
      <w:r w:rsidR="00716FEA">
        <w:t xml:space="preserve"> </w:t>
      </w:r>
      <w:r w:rsidR="00716FEA" w:rsidRPr="00716FEA">
        <w:rPr>
          <w:rFonts w:cs="Times New Roman"/>
          <w:i/>
        </w:rPr>
        <w:t>«se l’analisi separata di ogni criterio non permette di arrivare ad una conclusione chiara»</w:t>
      </w:r>
      <w:r w:rsidR="00716FEA" w:rsidRPr="00716FEA">
        <w:rPr>
          <w:rStyle w:val="Rimandonotaapidipagina"/>
          <w:rFonts w:cs="Times New Roman"/>
        </w:rPr>
        <w:footnoteReference w:id="65"/>
      </w:r>
      <w:r w:rsidR="00716FEA" w:rsidRPr="00716FEA">
        <w:t>.</w:t>
      </w:r>
    </w:p>
    <w:p w14:paraId="57470892" w14:textId="1E99101D" w:rsidR="00BF0250" w:rsidRDefault="00E6755E" w:rsidP="003A63CD">
      <w:pPr>
        <w:spacing w:after="100" w:afterAutospacing="1" w:line="276" w:lineRule="auto"/>
      </w:pPr>
      <w:r>
        <w:t>Il primo di tali criteri è costituito dalla</w:t>
      </w:r>
      <w:r w:rsidR="00716FEA">
        <w:t xml:space="preserve"> qualificazione giuridica della misura nel diritto nazionale. In merito, la Corte costata che la manipolazione del mercato </w:t>
      </w:r>
      <w:r w:rsidR="00716FEA" w:rsidRPr="00716FEA">
        <w:rPr>
          <w:i/>
        </w:rPr>
        <w:t>ex</w:t>
      </w:r>
      <w:r w:rsidR="00716FEA">
        <w:t xml:space="preserve"> art. 187 </w:t>
      </w:r>
      <w:r w:rsidR="00716FEA" w:rsidRPr="00716FEA">
        <w:rPr>
          <w:i/>
        </w:rPr>
        <w:t>ter</w:t>
      </w:r>
      <w:r w:rsidR="002B6103">
        <w:t xml:space="preserve"> del T.U.F. h</w:t>
      </w:r>
      <w:r w:rsidR="00716FEA">
        <w:t>a una natura dichiaratamente amministrativa, ma al contempo ribadisce come le indicazioni fornite dal diritto interno abbiano un valore relativo.</w:t>
      </w:r>
    </w:p>
    <w:p w14:paraId="64AC0F83" w14:textId="25A7F84E" w:rsidR="00476452" w:rsidRDefault="00B15537" w:rsidP="003A63CD">
      <w:pPr>
        <w:spacing w:after="100" w:afterAutospacing="1" w:line="276" w:lineRule="auto"/>
      </w:pPr>
      <w:r>
        <w:t xml:space="preserve">Altro elemento da considerare sarà la natura dell’illecito. Scopo della CONSOB </w:t>
      </w:r>
      <w:r w:rsidR="00476452">
        <w:t xml:space="preserve">è tutelare gli investitori e </w:t>
      </w:r>
      <w:r>
        <w:t xml:space="preserve">l’efficacia, la fiducia e la trasparenza dei mercati borsistici e le sue sanzioni sembrano </w:t>
      </w:r>
      <w:r w:rsidR="00476452">
        <w:t>funzionali ad evitare la recidiva, con un obiettivo preventivo e repressivo</w:t>
      </w:r>
      <w:r>
        <w:t xml:space="preserve">. </w:t>
      </w:r>
    </w:p>
    <w:p w14:paraId="44113F09" w14:textId="37DC0D3A" w:rsidR="00476452" w:rsidRDefault="00476452" w:rsidP="003A63CD">
      <w:pPr>
        <w:spacing w:after="100" w:afterAutospacing="1" w:line="276" w:lineRule="auto"/>
        <w:rPr>
          <w:rFonts w:cs="Times New Roman"/>
        </w:rPr>
      </w:pPr>
      <w:r>
        <w:rPr>
          <w:rFonts w:cs="Times New Roman"/>
        </w:rPr>
        <w:t>La Corte pertanto respinge l’opinione del governo italiano, che sosteneva che l’illecito fosse volto a riparare un danno di natura economica procurato agli investitori; ed infatti la sanzione della CONSOB non è proporzionale ad esso, ma alla gravità della condotta compiuta.</w:t>
      </w:r>
    </w:p>
    <w:p w14:paraId="37ED9716" w14:textId="7A1D8E9E" w:rsidR="00476452" w:rsidRDefault="008B3A2C" w:rsidP="003A63CD">
      <w:pPr>
        <w:spacing w:after="100" w:afterAutospacing="1" w:line="276" w:lineRule="auto"/>
      </w:pPr>
      <w:r>
        <w:t>Decisivo è l’ultimo</w:t>
      </w:r>
      <w:r w:rsidR="00476452">
        <w:t xml:space="preserve"> parametro</w:t>
      </w:r>
      <w:r>
        <w:t>,</w:t>
      </w:r>
      <w:r w:rsidR="00476452">
        <w:t xml:space="preserve"> rappresentato dalla natura e dalla severità della sanzione, che nel caso dell’art. 187 </w:t>
      </w:r>
      <w:r w:rsidR="00476452" w:rsidRPr="00790991">
        <w:rPr>
          <w:i/>
        </w:rPr>
        <w:t>ter</w:t>
      </w:r>
      <w:r w:rsidR="00476452">
        <w:t xml:space="preserve"> del T.U.F. non è privativa della libertà personale. Ciò</w:t>
      </w:r>
      <w:r w:rsidR="00790991">
        <w:t xml:space="preserve"> nonostante, la sanzione pecuniaria ha una</w:t>
      </w:r>
      <w:r w:rsidR="00476452">
        <w:t xml:space="preserve"> rilevante entità, </w:t>
      </w:r>
      <w:r w:rsidR="00790991">
        <w:t>potendo</w:t>
      </w:r>
      <w:r w:rsidR="00476452">
        <w:t xml:space="preserve"> arrivare fino </w:t>
      </w:r>
      <w:r w:rsidR="00930694">
        <w:t>a 5.000.000 €</w:t>
      </w:r>
      <w:r w:rsidR="00973E1A">
        <w:rPr>
          <w:rStyle w:val="Rimandonotaapidipagina"/>
        </w:rPr>
        <w:footnoteReference w:id="66"/>
      </w:r>
      <w:r w:rsidR="00930694">
        <w:t xml:space="preserve"> ed essere triplicat</w:t>
      </w:r>
      <w:r w:rsidR="00790991">
        <w:t>a o aumentata fino al decuplo del prodotto o del profitto ottenuto a seguito dell’illecito.</w:t>
      </w:r>
      <w:r w:rsidR="00B570ED">
        <w:t xml:space="preserve"> </w:t>
      </w:r>
      <w:r w:rsidR="00FD0772">
        <w:t>Il carattere altamente afflittivo della sanzione</w:t>
      </w:r>
      <w:r w:rsidR="005B08B4">
        <w:t>, proprio di</w:t>
      </w:r>
      <w:r w:rsidR="001E26CB">
        <w:t xml:space="preserve"> </w:t>
      </w:r>
      <w:r w:rsidR="005B08B4">
        <w:t>un illecito penale,</w:t>
      </w:r>
      <w:r w:rsidR="00FD0772">
        <w:t xml:space="preserve"> è avvalorato anche dalla presenza di sanzioni interdittive per un massimo di tre anni</w:t>
      </w:r>
      <w:r w:rsidR="00B570ED">
        <w:t xml:space="preserve">, che sono accompagnate dalla </w:t>
      </w:r>
      <w:r w:rsidR="00973E1A">
        <w:t>confisca del prodotto o del profitto derivante dall’illecito e dei beni utilizzati per commetterlo.</w:t>
      </w:r>
    </w:p>
    <w:p w14:paraId="6EC4AFF0" w14:textId="25E5DF17" w:rsidR="00476452" w:rsidRDefault="001E26CB" w:rsidP="003A63CD">
      <w:pPr>
        <w:spacing w:after="100" w:afterAutospacing="1" w:line="276" w:lineRule="auto"/>
        <w:rPr>
          <w:rFonts w:cs="Times New Roman"/>
        </w:rPr>
      </w:pPr>
      <w:r>
        <w:rPr>
          <w:rFonts w:cs="Times New Roman"/>
        </w:rPr>
        <w:t>Anche se</w:t>
      </w:r>
      <w:r w:rsidR="00F20A0A">
        <w:rPr>
          <w:rFonts w:cs="Times New Roman"/>
        </w:rPr>
        <w:t>,</w:t>
      </w:r>
      <w:r>
        <w:rPr>
          <w:rFonts w:cs="Times New Roman"/>
        </w:rPr>
        <w:t xml:space="preserve"> nel caso sottoposto alla Corte EDU</w:t>
      </w:r>
      <w:r w:rsidR="00F20A0A">
        <w:rPr>
          <w:rFonts w:cs="Times New Roman"/>
        </w:rPr>
        <w:t>,</w:t>
      </w:r>
      <w:r>
        <w:rPr>
          <w:rFonts w:cs="Times New Roman"/>
        </w:rPr>
        <w:t xml:space="preserve"> le sanzioni non </w:t>
      </w:r>
      <w:r w:rsidR="002B6103">
        <w:rPr>
          <w:rFonts w:cs="Times New Roman"/>
        </w:rPr>
        <w:t>erano</w:t>
      </w:r>
      <w:r w:rsidR="008068EA">
        <w:rPr>
          <w:rFonts w:cs="Times New Roman"/>
        </w:rPr>
        <w:t xml:space="preserve"> state</w:t>
      </w:r>
      <w:r>
        <w:rPr>
          <w:rFonts w:cs="Times New Roman"/>
        </w:rPr>
        <w:t xml:space="preserve"> applicate nel massimo perché </w:t>
      </w:r>
      <w:r w:rsidR="002B6103">
        <w:rPr>
          <w:rFonts w:cs="Times New Roman"/>
        </w:rPr>
        <w:t>erano</w:t>
      </w:r>
      <w:r>
        <w:rPr>
          <w:rFonts w:cs="Times New Roman"/>
        </w:rPr>
        <w:t xml:space="preserve"> state ridotte dal Tribunale di Torino e non vi </w:t>
      </w:r>
      <w:r w:rsidR="002B6103">
        <w:rPr>
          <w:rFonts w:cs="Times New Roman"/>
        </w:rPr>
        <w:t>era</w:t>
      </w:r>
      <w:r>
        <w:rPr>
          <w:rFonts w:cs="Times New Roman"/>
        </w:rPr>
        <w:t xml:space="preserve"> stata confisca, la</w:t>
      </w:r>
      <w:r w:rsidR="002B6103">
        <w:rPr>
          <w:rFonts w:cs="Times New Roman"/>
        </w:rPr>
        <w:t xml:space="preserve"> Corte osservò che la</w:t>
      </w:r>
      <w:r>
        <w:rPr>
          <w:rFonts w:cs="Times New Roman"/>
        </w:rPr>
        <w:t xml:space="preserve"> gravità della sanzione deve essere valuta</w:t>
      </w:r>
      <w:r w:rsidR="00965D4B">
        <w:rPr>
          <w:rFonts w:cs="Times New Roman"/>
        </w:rPr>
        <w:t xml:space="preserve"> in astratto ed a prescindere dalla sanzione effettivamente inflitta.</w:t>
      </w:r>
    </w:p>
    <w:p w14:paraId="64F58B6C" w14:textId="01E6DE1A" w:rsidR="008507D0" w:rsidRDefault="00965D4B" w:rsidP="003A63CD">
      <w:pPr>
        <w:spacing w:after="100" w:afterAutospacing="1" w:line="276" w:lineRule="auto"/>
        <w:rPr>
          <w:rFonts w:cs="Times New Roman"/>
        </w:rPr>
      </w:pPr>
      <w:r>
        <w:rPr>
          <w:rFonts w:cs="Times New Roman"/>
        </w:rPr>
        <w:t xml:space="preserve">In ragione principalmente della gravità della sanzione e richiamando </w:t>
      </w:r>
      <w:r w:rsidR="002B6103">
        <w:rPr>
          <w:rFonts w:cs="Times New Roman"/>
        </w:rPr>
        <w:t xml:space="preserve">alcune </w:t>
      </w:r>
      <w:r>
        <w:rPr>
          <w:rFonts w:cs="Times New Roman"/>
        </w:rPr>
        <w:t xml:space="preserve">precedenti pronunce contro la Francia in materia di sanzioni comminate da autorità indipendenti </w:t>
      </w:r>
      <w:r w:rsidR="008068EA">
        <w:rPr>
          <w:rFonts w:cs="Times New Roman"/>
        </w:rPr>
        <w:t xml:space="preserve">con </w:t>
      </w:r>
      <w:r w:rsidR="00D9730F">
        <w:rPr>
          <w:rFonts w:cs="Times New Roman"/>
        </w:rPr>
        <w:t>ruoli molto simili</w:t>
      </w:r>
      <w:r w:rsidR="008068EA">
        <w:rPr>
          <w:rFonts w:cs="Times New Roman"/>
        </w:rPr>
        <w:t xml:space="preserve"> a quello della CONSOB, </w:t>
      </w:r>
      <w:r w:rsidR="00D9730F">
        <w:rPr>
          <w:rFonts w:cs="Times New Roman"/>
        </w:rPr>
        <w:t>quali la tutela</w:t>
      </w:r>
      <w:r w:rsidR="008068EA">
        <w:rPr>
          <w:rFonts w:cs="Times New Roman"/>
        </w:rPr>
        <w:t xml:space="preserve"> </w:t>
      </w:r>
      <w:r w:rsidR="00D9730F">
        <w:rPr>
          <w:rFonts w:cs="Times New Roman"/>
        </w:rPr>
        <w:t>del</w:t>
      </w:r>
      <w:r w:rsidR="008068EA">
        <w:rPr>
          <w:rFonts w:cs="Times New Roman"/>
        </w:rPr>
        <w:t>la</w:t>
      </w:r>
      <w:r w:rsidR="002B6103">
        <w:rPr>
          <w:rFonts w:cs="Times New Roman"/>
        </w:rPr>
        <w:t xml:space="preserve"> concorrenza o dei</w:t>
      </w:r>
      <w:r>
        <w:rPr>
          <w:rFonts w:cs="Times New Roman"/>
        </w:rPr>
        <w:t xml:space="preserve"> mercati finanziari, la Corte ritiene che gli illeciti di cui all’art. 187 </w:t>
      </w:r>
      <w:r w:rsidRPr="00965D4B">
        <w:rPr>
          <w:rFonts w:cs="Times New Roman"/>
          <w:i/>
        </w:rPr>
        <w:t>ter</w:t>
      </w:r>
      <w:r>
        <w:rPr>
          <w:rFonts w:cs="Times New Roman"/>
        </w:rPr>
        <w:t xml:space="preserve"> del T.U.F. abbiano carattere penale</w:t>
      </w:r>
      <w:r w:rsidR="008507D0">
        <w:rPr>
          <w:rStyle w:val="Rimandonotaapidipagina"/>
          <w:rFonts w:cs="Times New Roman"/>
        </w:rPr>
        <w:footnoteReference w:id="67"/>
      </w:r>
      <w:r w:rsidR="008507D0">
        <w:rPr>
          <w:rFonts w:cs="Times New Roman"/>
        </w:rPr>
        <w:t>.</w:t>
      </w:r>
    </w:p>
    <w:p w14:paraId="4B0EA2FE" w14:textId="20DD9817" w:rsidR="007E071E" w:rsidRPr="002F17A1" w:rsidRDefault="0092731D" w:rsidP="003A63CD">
      <w:pPr>
        <w:autoSpaceDE w:val="0"/>
        <w:autoSpaceDN w:val="0"/>
        <w:adjustRightInd w:val="0"/>
        <w:spacing w:after="100" w:afterAutospacing="1" w:line="276" w:lineRule="auto"/>
        <w:rPr>
          <w:rFonts w:cs="Times New Roman"/>
        </w:rPr>
      </w:pPr>
      <w:r>
        <w:rPr>
          <w:rFonts w:cs="Times New Roman"/>
        </w:rPr>
        <w:t>Qualificata la sanzione come penale, risulta</w:t>
      </w:r>
      <w:r w:rsidR="00F40BEA">
        <w:rPr>
          <w:rFonts w:cs="Times New Roman"/>
        </w:rPr>
        <w:t>no</w:t>
      </w:r>
      <w:r>
        <w:rPr>
          <w:rFonts w:cs="Times New Roman"/>
        </w:rPr>
        <w:t xml:space="preserve"> applicabil</w:t>
      </w:r>
      <w:r w:rsidR="00F40BEA">
        <w:rPr>
          <w:rFonts w:cs="Times New Roman"/>
        </w:rPr>
        <w:t>i</w:t>
      </w:r>
      <w:r>
        <w:rPr>
          <w:rFonts w:cs="Times New Roman"/>
        </w:rPr>
        <w:t xml:space="preserve"> </w:t>
      </w:r>
      <w:r w:rsidR="00F40BEA">
        <w:rPr>
          <w:rFonts w:cs="Times New Roman"/>
        </w:rPr>
        <w:t>le garanzie previste dal</w:t>
      </w:r>
      <w:r>
        <w:rPr>
          <w:rFonts w:cs="Times New Roman"/>
        </w:rPr>
        <w:t>l’art. 4 del</w:t>
      </w:r>
      <w:r w:rsidR="00CF4119">
        <w:rPr>
          <w:rFonts w:cs="Times New Roman"/>
        </w:rPr>
        <w:t xml:space="preserve"> settimo</w:t>
      </w:r>
      <w:r>
        <w:rPr>
          <w:rFonts w:cs="Times New Roman"/>
        </w:rPr>
        <w:t xml:space="preserve"> Protocollo della C</w:t>
      </w:r>
      <w:r w:rsidR="00A26457">
        <w:rPr>
          <w:rFonts w:cs="Times New Roman"/>
        </w:rPr>
        <w:t xml:space="preserve">onvenzione </w:t>
      </w:r>
      <w:r>
        <w:rPr>
          <w:rFonts w:cs="Times New Roman"/>
        </w:rPr>
        <w:t>EDU</w:t>
      </w:r>
      <w:r w:rsidR="00F40BEA">
        <w:rPr>
          <w:rFonts w:cs="Times New Roman"/>
        </w:rPr>
        <w:t>. A tal fine</w:t>
      </w:r>
      <w:r>
        <w:rPr>
          <w:rFonts w:cs="Times New Roman"/>
        </w:rPr>
        <w:t xml:space="preserve">, </w:t>
      </w:r>
      <w:r w:rsidR="00F40BEA">
        <w:rPr>
          <w:rFonts w:cs="Times New Roman"/>
        </w:rPr>
        <w:t xml:space="preserve">la Corte valuta se sussista identità tra </w:t>
      </w:r>
      <w:r w:rsidR="006E008D">
        <w:rPr>
          <w:rFonts w:cs="Times New Roman"/>
        </w:rPr>
        <w:t xml:space="preserve">le accuse dei due procedimenti classificati come penali. </w:t>
      </w:r>
      <w:r w:rsidR="007E071E">
        <w:rPr>
          <w:rFonts w:cs="Times New Roman"/>
        </w:rPr>
        <w:t xml:space="preserve">La </w:t>
      </w:r>
      <w:r w:rsidR="007E071E" w:rsidRPr="002F17A1">
        <w:rPr>
          <w:rFonts w:cs="Times New Roman"/>
        </w:rPr>
        <w:t>Corte richiama</w:t>
      </w:r>
      <w:r w:rsidR="006E008D" w:rsidRPr="002F17A1">
        <w:rPr>
          <w:rFonts w:cs="Times New Roman"/>
        </w:rPr>
        <w:t xml:space="preserve"> la</w:t>
      </w:r>
      <w:r w:rsidR="007E071E" w:rsidRPr="002F17A1">
        <w:rPr>
          <w:rFonts w:cs="Times New Roman"/>
        </w:rPr>
        <w:t xml:space="preserve"> sua</w:t>
      </w:r>
      <w:r w:rsidR="006E008D" w:rsidRPr="002F17A1">
        <w:rPr>
          <w:rFonts w:cs="Times New Roman"/>
        </w:rPr>
        <w:t xml:space="preserve"> precedente </w:t>
      </w:r>
      <w:r w:rsidR="007E071E" w:rsidRPr="002F17A1">
        <w:rPr>
          <w:rFonts w:cs="Times New Roman"/>
        </w:rPr>
        <w:t xml:space="preserve">pronuncia nel caso </w:t>
      </w:r>
      <w:r w:rsidR="005C530B" w:rsidRPr="002F17A1">
        <w:rPr>
          <w:rFonts w:cs="Arial"/>
          <w:bCs/>
        </w:rPr>
        <w:t>Zolotukhin</w:t>
      </w:r>
      <w:r w:rsidR="00A53A8C" w:rsidRPr="002F17A1">
        <w:rPr>
          <w:rStyle w:val="Rimandonotaapidipagina"/>
          <w:rFonts w:cs="Times New Roman"/>
        </w:rPr>
        <w:footnoteReference w:id="68"/>
      </w:r>
      <w:r w:rsidR="007E071E" w:rsidRPr="002F17A1">
        <w:rPr>
          <w:rFonts w:cs="Times New Roman"/>
        </w:rPr>
        <w:t xml:space="preserve">, con cui </w:t>
      </w:r>
      <w:r w:rsidR="006E008D" w:rsidRPr="002F17A1">
        <w:rPr>
          <w:rFonts w:cs="Times New Roman"/>
        </w:rPr>
        <w:t xml:space="preserve">ha cambiato orientamento in merito alla definizione di identità dei </w:t>
      </w:r>
      <w:r w:rsidR="007E071E" w:rsidRPr="002F17A1">
        <w:rPr>
          <w:rFonts w:cs="Times New Roman"/>
        </w:rPr>
        <w:t>reati.</w:t>
      </w:r>
    </w:p>
    <w:p w14:paraId="63DCCCD2" w14:textId="77EAE46F" w:rsidR="0099227E" w:rsidRDefault="007E071E" w:rsidP="003A63CD">
      <w:pPr>
        <w:autoSpaceDE w:val="0"/>
        <w:autoSpaceDN w:val="0"/>
        <w:adjustRightInd w:val="0"/>
        <w:spacing w:after="100" w:afterAutospacing="1" w:line="276" w:lineRule="auto"/>
        <w:rPr>
          <w:rFonts w:cs="Times New Roman"/>
        </w:rPr>
      </w:pPr>
      <w:r w:rsidRPr="002F17A1">
        <w:rPr>
          <w:rFonts w:cs="Times New Roman"/>
        </w:rPr>
        <w:t xml:space="preserve">Precedentemente </w:t>
      </w:r>
      <w:r w:rsidR="005C530B" w:rsidRPr="002F17A1">
        <w:rPr>
          <w:rFonts w:cs="Times New Roman"/>
        </w:rPr>
        <w:t xml:space="preserve">a tale pronuncia, </w:t>
      </w:r>
      <w:r w:rsidR="002F17A1" w:rsidRPr="002F17A1">
        <w:rPr>
          <w:rFonts w:cs="Times New Roman"/>
        </w:rPr>
        <w:t xml:space="preserve">la Corte EDU </w:t>
      </w:r>
      <w:r w:rsidR="002F17A1" w:rsidRPr="002F17A1">
        <w:t xml:space="preserve">aveva </w:t>
      </w:r>
      <w:r w:rsidR="002F17A1" w:rsidRPr="002F17A1">
        <w:rPr>
          <w:rFonts w:cs="Times New Roman"/>
          <w:i/>
        </w:rPr>
        <w:t>«</w:t>
      </w:r>
      <w:r w:rsidR="002F17A1" w:rsidRPr="002F17A1">
        <w:rPr>
          <w:i/>
        </w:rPr>
        <w:t>sostenuto un’accezione formale e più restrittiva, coincidente con la qualificazione giuridica della condotta</w:t>
      </w:r>
      <w:r w:rsidR="002F17A1" w:rsidRPr="002F17A1">
        <w:rPr>
          <w:rFonts w:cs="Times New Roman"/>
          <w:i/>
        </w:rPr>
        <w:t>»</w:t>
      </w:r>
      <w:r w:rsidR="002F17A1" w:rsidRPr="002F17A1">
        <w:rPr>
          <w:rStyle w:val="Rimandonotaapidipagina"/>
          <w:rFonts w:cs="Times New Roman"/>
        </w:rPr>
        <w:footnoteReference w:id="69"/>
      </w:r>
      <w:r w:rsidR="005C530B" w:rsidRPr="002F17A1">
        <w:rPr>
          <w:rFonts w:cs="Times New Roman"/>
        </w:rPr>
        <w:t>.</w:t>
      </w:r>
      <w:r w:rsidR="0099227E">
        <w:rPr>
          <w:rFonts w:cs="Times New Roman"/>
        </w:rPr>
        <w:t xml:space="preserve"> La Corte EDU, volendosi allineare all’interpretazione del principio più lata offerta dalla Corte di Giustizia dell’UE e dalla Corte interamericana dei diritti umani, ha stabilito che il principio </w:t>
      </w:r>
      <w:r w:rsidR="0099227E" w:rsidRPr="002F17A1">
        <w:rPr>
          <w:rFonts w:cs="Times New Roman"/>
        </w:rPr>
        <w:t xml:space="preserve">del </w:t>
      </w:r>
      <w:r w:rsidR="0099227E" w:rsidRPr="003239A6">
        <w:rPr>
          <w:rFonts w:cs="Times New Roman"/>
          <w:i/>
        </w:rPr>
        <w:t>ne bis in idem</w:t>
      </w:r>
      <w:r w:rsidR="0099227E">
        <w:rPr>
          <w:rFonts w:cs="Times New Roman"/>
        </w:rPr>
        <w:t xml:space="preserve"> si applica quando il fatto da sanzionare sia </w:t>
      </w:r>
      <w:r w:rsidR="00493190">
        <w:rPr>
          <w:rFonts w:cs="Times New Roman"/>
        </w:rPr>
        <w:t xml:space="preserve">sostanzialmente </w:t>
      </w:r>
      <w:r w:rsidR="0099227E">
        <w:rPr>
          <w:rFonts w:cs="Times New Roman"/>
        </w:rPr>
        <w:t>il medesimo e venga intentato un nuovo procedimento dopo il passaggio in giudicato del primo</w:t>
      </w:r>
      <w:r w:rsidR="008F62F5">
        <w:rPr>
          <w:rStyle w:val="Rimandonotaapidipagina"/>
          <w:rFonts w:cs="Times New Roman"/>
        </w:rPr>
        <w:footnoteReference w:id="70"/>
      </w:r>
      <w:r w:rsidR="0099227E">
        <w:rPr>
          <w:rFonts w:cs="Times New Roman"/>
        </w:rPr>
        <w:t>.</w:t>
      </w:r>
    </w:p>
    <w:p w14:paraId="304DA847" w14:textId="46CC8E36" w:rsidR="003239A6" w:rsidRDefault="0099227E" w:rsidP="003A63CD">
      <w:pPr>
        <w:autoSpaceDE w:val="0"/>
        <w:autoSpaceDN w:val="0"/>
        <w:adjustRightInd w:val="0"/>
        <w:spacing w:after="100" w:afterAutospacing="1" w:line="276" w:lineRule="auto"/>
        <w:rPr>
          <w:rFonts w:cs="Times New Roman"/>
        </w:rPr>
      </w:pPr>
      <w:r>
        <w:rPr>
          <w:rFonts w:cs="Times New Roman"/>
        </w:rPr>
        <w:t xml:space="preserve">A tal proposito, la Corte EDU cita </w:t>
      </w:r>
      <w:r w:rsidR="00493190">
        <w:rPr>
          <w:rFonts w:cs="Times New Roman"/>
        </w:rPr>
        <w:t xml:space="preserve">la sentenza </w:t>
      </w:r>
      <w:r w:rsidR="00493190" w:rsidRPr="002F17A1">
        <w:rPr>
          <w:rFonts w:cs="Arial"/>
          <w:bCs/>
        </w:rPr>
        <w:t>Zolotukhin</w:t>
      </w:r>
      <w:r w:rsidR="007E3E9F">
        <w:rPr>
          <w:rFonts w:cs="Arial"/>
          <w:bCs/>
        </w:rPr>
        <w:t xml:space="preserve"> nel caso Grande Stevens</w:t>
      </w:r>
      <w:r w:rsidR="00493190">
        <w:rPr>
          <w:rFonts w:cs="Arial"/>
          <w:bCs/>
        </w:rPr>
        <w:t xml:space="preserve"> per richiamare</w:t>
      </w:r>
      <w:r>
        <w:rPr>
          <w:rFonts w:cs="Times New Roman"/>
        </w:rPr>
        <w:t xml:space="preserve"> </w:t>
      </w:r>
      <w:r w:rsidR="00493190">
        <w:rPr>
          <w:rFonts w:cs="Times New Roman"/>
        </w:rPr>
        <w:t xml:space="preserve">alcuni </w:t>
      </w:r>
      <w:r>
        <w:rPr>
          <w:rFonts w:cs="Times New Roman"/>
        </w:rPr>
        <w:t>criteri</w:t>
      </w:r>
      <w:r w:rsidR="00493190">
        <w:rPr>
          <w:rFonts w:cs="Times New Roman"/>
        </w:rPr>
        <w:t xml:space="preserve"> in base ai quali distinguere se i fatti s</w:t>
      </w:r>
      <w:r w:rsidR="002B6103">
        <w:rPr>
          <w:rFonts w:cs="Times New Roman"/>
        </w:rPr>
        <w:t>iano i medesimi</w:t>
      </w:r>
      <w:r w:rsidR="007E071E">
        <w:rPr>
          <w:rFonts w:cs="Times New Roman"/>
        </w:rPr>
        <w:t>.</w:t>
      </w:r>
      <w:r w:rsidR="007E3E9F">
        <w:rPr>
          <w:rFonts w:cs="Times New Roman"/>
        </w:rPr>
        <w:t xml:space="preserve"> Si dovrà instaurare un confronto tra i fatti descritti dai documenti di causa e quelli stabiliti dalla nuova accusa penale</w:t>
      </w:r>
      <w:r w:rsidR="002B6103">
        <w:rPr>
          <w:rFonts w:cs="Times New Roman"/>
        </w:rPr>
        <w:t>,</w:t>
      </w:r>
      <w:r w:rsidR="007E3E9F">
        <w:rPr>
          <w:rFonts w:cs="Times New Roman"/>
        </w:rPr>
        <w:t xml:space="preserve"> così da evitare un nuovo processo ancor prima che una nuova condanna o una nuova assoluzione. In particolare, dovranno essere analizzati gli accadimenti riportati nelle due accuse, le </w:t>
      </w:r>
      <w:r w:rsidR="00461457">
        <w:rPr>
          <w:rFonts w:cs="Times New Roman"/>
        </w:rPr>
        <w:t>circostanze</w:t>
      </w:r>
      <w:r w:rsidR="007E3E9F">
        <w:rPr>
          <w:rFonts w:cs="Times New Roman"/>
        </w:rPr>
        <w:t xml:space="preserve"> in cui sono avvenuti, il tempo e lo spazio</w:t>
      </w:r>
      <w:r w:rsidR="00461457">
        <w:rPr>
          <w:rStyle w:val="Rimandonotaapidipagina"/>
          <w:rFonts w:cs="Times New Roman"/>
        </w:rPr>
        <w:footnoteReference w:id="71"/>
      </w:r>
      <w:r w:rsidR="007E3E9F">
        <w:rPr>
          <w:rFonts w:cs="Times New Roman"/>
        </w:rPr>
        <w:t>.</w:t>
      </w:r>
    </w:p>
    <w:p w14:paraId="34B8F64C" w14:textId="77777777" w:rsidR="00F65C47" w:rsidRDefault="00F028F5" w:rsidP="003A63CD">
      <w:pPr>
        <w:autoSpaceDE w:val="0"/>
        <w:autoSpaceDN w:val="0"/>
        <w:adjustRightInd w:val="0"/>
        <w:spacing w:after="100" w:afterAutospacing="1" w:line="276" w:lineRule="auto"/>
        <w:rPr>
          <w:rFonts w:cs="Times New Roman"/>
        </w:rPr>
      </w:pPr>
      <w:r>
        <w:rPr>
          <w:rFonts w:cs="Times New Roman"/>
        </w:rPr>
        <w:t>Pertanto</w:t>
      </w:r>
      <w:r w:rsidR="0047632C">
        <w:rPr>
          <w:rFonts w:cs="Times New Roman"/>
        </w:rPr>
        <w:t>,</w:t>
      </w:r>
      <w:r>
        <w:rPr>
          <w:rFonts w:cs="Times New Roman"/>
        </w:rPr>
        <w:t xml:space="preserve"> nel caso Grande Stevens la Corte EDU non</w:t>
      </w:r>
      <w:r w:rsidR="0047632C">
        <w:rPr>
          <w:rFonts w:cs="Times New Roman"/>
        </w:rPr>
        <w:t xml:space="preserve"> è</w:t>
      </w:r>
      <w:r>
        <w:rPr>
          <w:rFonts w:cs="Times New Roman"/>
        </w:rPr>
        <w:t xml:space="preserve"> stata chiamata a verificare la coincidenza degli elementi costitutivi degli artt. 185 e 187 </w:t>
      </w:r>
      <w:r w:rsidRPr="00F028F5">
        <w:rPr>
          <w:rFonts w:cs="Times New Roman"/>
          <w:i/>
        </w:rPr>
        <w:t>ter</w:t>
      </w:r>
      <w:r>
        <w:rPr>
          <w:rFonts w:cs="Times New Roman"/>
        </w:rPr>
        <w:t xml:space="preserve"> del T.U.F., ma degli elementi di fatto richiamati a supporto dell’accusa. </w:t>
      </w:r>
    </w:p>
    <w:p w14:paraId="1B40A971" w14:textId="36CD8F3C" w:rsidR="00DC255D" w:rsidRDefault="00F028F5" w:rsidP="003A63CD">
      <w:pPr>
        <w:autoSpaceDE w:val="0"/>
        <w:autoSpaceDN w:val="0"/>
        <w:adjustRightInd w:val="0"/>
        <w:spacing w:after="100" w:afterAutospacing="1" w:line="276" w:lineRule="auto"/>
        <w:rPr>
          <w:rFonts w:cs="Times New Roman"/>
        </w:rPr>
      </w:pPr>
      <w:r>
        <w:rPr>
          <w:rFonts w:cs="Times New Roman"/>
        </w:rPr>
        <w:t xml:space="preserve">La Corte così </w:t>
      </w:r>
      <w:r w:rsidR="0047632C">
        <w:rPr>
          <w:rFonts w:cs="Times New Roman"/>
        </w:rPr>
        <w:t>ha concluso</w:t>
      </w:r>
      <w:r>
        <w:rPr>
          <w:rFonts w:cs="Times New Roman"/>
        </w:rPr>
        <w:t xml:space="preserve"> che le accuse </w:t>
      </w:r>
      <w:r w:rsidR="00DC255D">
        <w:rPr>
          <w:rFonts w:cs="Times New Roman"/>
        </w:rPr>
        <w:t>siano</w:t>
      </w:r>
      <w:r>
        <w:rPr>
          <w:rFonts w:cs="Times New Roman"/>
        </w:rPr>
        <w:t xml:space="preserve"> chiaramente riconducibili ad </w:t>
      </w:r>
      <w:r w:rsidRPr="00DC255D">
        <w:rPr>
          <w:rFonts w:cs="Times New Roman"/>
          <w:i/>
        </w:rPr>
        <w:t>«una unica e stessa condotta da parte delle stesse persone alla stessa data»</w:t>
      </w:r>
      <w:r w:rsidR="00D841D1">
        <w:rPr>
          <w:rStyle w:val="Rimandonotaapidipagina"/>
          <w:rFonts w:cs="Times New Roman"/>
        </w:rPr>
        <w:footnoteReference w:id="72"/>
      </w:r>
      <w:r>
        <w:rPr>
          <w:rFonts w:cs="Times New Roman"/>
        </w:rPr>
        <w:t xml:space="preserve"> ed </w:t>
      </w:r>
      <w:r w:rsidR="00DC255D">
        <w:rPr>
          <w:rFonts w:cs="Times New Roman"/>
        </w:rPr>
        <w:t>a supporto di tale argomentazione ha</w:t>
      </w:r>
      <w:r>
        <w:rPr>
          <w:rFonts w:cs="Times New Roman"/>
        </w:rPr>
        <w:t xml:space="preserve"> richiamato </w:t>
      </w:r>
      <w:r w:rsidR="00DC255D">
        <w:rPr>
          <w:rFonts w:cs="Times New Roman"/>
        </w:rPr>
        <w:t>la sentenza della</w:t>
      </w:r>
      <w:r w:rsidR="009C239D">
        <w:rPr>
          <w:rFonts w:cs="Times New Roman"/>
        </w:rPr>
        <w:t xml:space="preserve"> Corte d’Appello di Torino del 23 gennaio 2008, </w:t>
      </w:r>
      <w:r w:rsidR="007C5FC7">
        <w:rPr>
          <w:rFonts w:cs="Times New Roman"/>
        </w:rPr>
        <w:t>secondo cui i due illeciti hanno ad oggetto le medesime condotte</w:t>
      </w:r>
      <w:r w:rsidR="007C5FC7">
        <w:rPr>
          <w:rStyle w:val="Rimandonotaapidipagina"/>
          <w:rFonts w:cs="Times New Roman"/>
        </w:rPr>
        <w:footnoteReference w:id="73"/>
      </w:r>
      <w:r>
        <w:rPr>
          <w:rFonts w:cs="Times New Roman"/>
        </w:rPr>
        <w:t>.</w:t>
      </w:r>
    </w:p>
    <w:p w14:paraId="11DA1522" w14:textId="2A8D9BA2" w:rsidR="00F65C47" w:rsidRDefault="00E90108" w:rsidP="003A63CD">
      <w:pPr>
        <w:pStyle w:val="Default"/>
        <w:widowControl/>
        <w:spacing w:after="100" w:afterAutospacing="1" w:line="276" w:lineRule="auto"/>
        <w:ind w:firstLine="454"/>
        <w:jc w:val="both"/>
        <w:rPr>
          <w:rFonts w:ascii="Times New Roman" w:hAnsi="Times New Roman" w:cs="Times New Roman"/>
        </w:rPr>
      </w:pPr>
      <w:r w:rsidRPr="005F335C">
        <w:rPr>
          <w:rFonts w:ascii="Times New Roman" w:hAnsi="Times New Roman" w:cs="Times New Roman"/>
        </w:rPr>
        <w:t>Si deve precisare tale concetto: la Convenzione EDU non impedisce la litispendenza, ma preclude che un nuovo procedimento</w:t>
      </w:r>
      <w:r w:rsidR="00F65C47">
        <w:rPr>
          <w:rFonts w:ascii="Times New Roman" w:hAnsi="Times New Roman" w:cs="Times New Roman"/>
        </w:rPr>
        <w:t>,</w:t>
      </w:r>
      <w:r w:rsidR="005F335C">
        <w:rPr>
          <w:rFonts w:ascii="Times New Roman" w:hAnsi="Times New Roman" w:cs="Times New Roman"/>
        </w:rPr>
        <w:t xml:space="preserve"> sostanzialmente penale</w:t>
      </w:r>
      <w:r w:rsidR="00F65C47">
        <w:rPr>
          <w:rFonts w:ascii="Times New Roman" w:hAnsi="Times New Roman" w:cs="Times New Roman"/>
        </w:rPr>
        <w:t>,</w:t>
      </w:r>
      <w:r w:rsidRPr="005F335C">
        <w:rPr>
          <w:rFonts w:ascii="Times New Roman" w:hAnsi="Times New Roman" w:cs="Times New Roman"/>
        </w:rPr>
        <w:t xml:space="preserve"> venga aperto quando si sia</w:t>
      </w:r>
      <w:r w:rsidR="00F65C47">
        <w:rPr>
          <w:rFonts w:ascii="Times New Roman" w:hAnsi="Times New Roman" w:cs="Times New Roman"/>
        </w:rPr>
        <w:t xml:space="preserve"> già</w:t>
      </w:r>
      <w:r w:rsidRPr="005F335C">
        <w:rPr>
          <w:rFonts w:ascii="Times New Roman" w:hAnsi="Times New Roman" w:cs="Times New Roman"/>
        </w:rPr>
        <w:t xml:space="preserve"> formato il giudicato</w:t>
      </w:r>
      <w:r w:rsidR="005F335C">
        <w:rPr>
          <w:rFonts w:ascii="Times New Roman" w:hAnsi="Times New Roman" w:cs="Times New Roman"/>
        </w:rPr>
        <w:t>.</w:t>
      </w:r>
      <w:r w:rsidR="005F335C" w:rsidRPr="005F335C">
        <w:rPr>
          <w:rFonts w:ascii="Times New Roman" w:hAnsi="Times New Roman" w:cs="Times New Roman"/>
        </w:rPr>
        <w:t xml:space="preserve"> </w:t>
      </w:r>
      <w:r w:rsidR="005F335C">
        <w:rPr>
          <w:rFonts w:ascii="Times New Roman" w:hAnsi="Times New Roman" w:cs="Times New Roman"/>
        </w:rPr>
        <w:t>Peraltro l</w:t>
      </w:r>
      <w:r w:rsidR="005F335C" w:rsidRPr="005F335C">
        <w:rPr>
          <w:rFonts w:ascii="Times New Roman" w:hAnsi="Times New Roman" w:cs="Times New Roman"/>
        </w:rPr>
        <w:t xml:space="preserve">’art. 4, secondo comma, del </w:t>
      </w:r>
      <w:r w:rsidR="00CF4119">
        <w:rPr>
          <w:rFonts w:ascii="Times New Roman" w:hAnsi="Times New Roman" w:cs="Times New Roman"/>
        </w:rPr>
        <w:t xml:space="preserve">settimo </w:t>
      </w:r>
      <w:r w:rsidR="005F335C" w:rsidRPr="005F335C">
        <w:rPr>
          <w:rFonts w:ascii="Times New Roman" w:hAnsi="Times New Roman" w:cs="Times New Roman"/>
        </w:rPr>
        <w:t xml:space="preserve">Protocollo fa salva </w:t>
      </w:r>
      <w:r w:rsidR="005F335C" w:rsidRPr="005F335C">
        <w:rPr>
          <w:rFonts w:ascii="Times New Roman" w:hAnsi="Times New Roman" w:cs="Times New Roman"/>
          <w:i/>
        </w:rPr>
        <w:t>«la riapertura del processo, conformemente alla legge e alla procedura penale dello Stato interessato, se fatti sopravvenuti o nuove rivelazioni o un vizio fondamentale nella procedura antecedente sono in grado di inficiare la sentenza intervenuta»</w:t>
      </w:r>
      <w:r w:rsidR="005F335C" w:rsidRPr="005F335C">
        <w:rPr>
          <w:rFonts w:ascii="Times New Roman" w:hAnsi="Times New Roman" w:cs="Times New Roman"/>
        </w:rPr>
        <w:t>.</w:t>
      </w:r>
    </w:p>
    <w:p w14:paraId="06FCD188" w14:textId="377BAEF7" w:rsidR="00F65C47" w:rsidRPr="00F65C47" w:rsidRDefault="00D30714" w:rsidP="003A63CD">
      <w:pPr>
        <w:pStyle w:val="Titolo2"/>
      </w:pPr>
      <w:bookmarkStart w:id="7" w:name="_Toc277195432"/>
      <w:r>
        <w:t xml:space="preserve">Le conseguenze </w:t>
      </w:r>
      <w:r w:rsidR="00F65C47">
        <w:t xml:space="preserve">del </w:t>
      </w:r>
      <w:r w:rsidR="00F65C47" w:rsidRPr="00B868D8">
        <w:rPr>
          <w:i/>
        </w:rPr>
        <w:t>ne bis in idem</w:t>
      </w:r>
      <w:r w:rsidR="00F65C47">
        <w:t xml:space="preserve"> </w:t>
      </w:r>
      <w:r w:rsidR="00F22761">
        <w:t>sugli illeciti di manipolazione del mercato</w:t>
      </w:r>
      <w:bookmarkEnd w:id="7"/>
    </w:p>
    <w:p w14:paraId="75C05B50" w14:textId="1BBD8936" w:rsidR="00136963" w:rsidRPr="005943B5" w:rsidRDefault="00136963" w:rsidP="003A63CD">
      <w:pPr>
        <w:pStyle w:val="Default"/>
        <w:widowControl/>
        <w:spacing w:after="100" w:afterAutospacing="1" w:line="276" w:lineRule="auto"/>
        <w:ind w:firstLine="454"/>
        <w:jc w:val="both"/>
        <w:rPr>
          <w:rFonts w:ascii="Times New Roman" w:hAnsi="Times New Roman" w:cs="Times New Roman"/>
        </w:rPr>
      </w:pPr>
      <w:r>
        <w:rPr>
          <w:rFonts w:ascii="Times New Roman" w:hAnsi="Times New Roman" w:cs="Times New Roman"/>
        </w:rPr>
        <w:t xml:space="preserve">La pronuncia </w:t>
      </w:r>
      <w:r w:rsidR="00F65C47">
        <w:rPr>
          <w:rFonts w:ascii="Times New Roman" w:hAnsi="Times New Roman" w:cs="Times New Roman"/>
        </w:rPr>
        <w:t>ha così stabilito</w:t>
      </w:r>
      <w:r>
        <w:rPr>
          <w:rFonts w:ascii="Times New Roman" w:hAnsi="Times New Roman" w:cs="Times New Roman"/>
        </w:rPr>
        <w:t xml:space="preserve"> un principio di diritto</w:t>
      </w:r>
      <w:r w:rsidR="00F65C47">
        <w:rPr>
          <w:rFonts w:ascii="Times New Roman" w:hAnsi="Times New Roman" w:cs="Times New Roman"/>
        </w:rPr>
        <w:t xml:space="preserve">, quello del </w:t>
      </w:r>
      <w:r w:rsidR="00F65C47" w:rsidRPr="00F65C47">
        <w:rPr>
          <w:rFonts w:ascii="Times New Roman" w:hAnsi="Times New Roman" w:cs="Times New Roman"/>
          <w:i/>
        </w:rPr>
        <w:t>ne bis in idem</w:t>
      </w:r>
      <w:r w:rsidR="00F65C47">
        <w:rPr>
          <w:rFonts w:ascii="Times New Roman" w:hAnsi="Times New Roman" w:cs="Times New Roman"/>
        </w:rPr>
        <w:t xml:space="preserve"> </w:t>
      </w:r>
      <w:r w:rsidR="00A475ED">
        <w:rPr>
          <w:rFonts w:ascii="Times New Roman" w:hAnsi="Times New Roman" w:cs="Times New Roman"/>
        </w:rPr>
        <w:t xml:space="preserve">(sostanziale e processuale) </w:t>
      </w:r>
      <w:r w:rsidR="00F65C47">
        <w:rPr>
          <w:rFonts w:ascii="Times New Roman" w:hAnsi="Times New Roman" w:cs="Times New Roman"/>
        </w:rPr>
        <w:t>valutato secondo i parametri sostanziali dell’illecito,</w:t>
      </w:r>
      <w:r>
        <w:rPr>
          <w:rFonts w:ascii="Times New Roman" w:hAnsi="Times New Roman" w:cs="Times New Roman"/>
        </w:rPr>
        <w:t xml:space="preserve"> avente valore </w:t>
      </w:r>
      <w:r w:rsidRPr="00F60F91">
        <w:rPr>
          <w:rFonts w:ascii="Times New Roman" w:hAnsi="Times New Roman" w:cs="Times New Roman"/>
          <w:i/>
        </w:rPr>
        <w:t>erga omnes</w:t>
      </w:r>
      <w:r>
        <w:rPr>
          <w:rFonts w:ascii="Times New Roman" w:hAnsi="Times New Roman" w:cs="Times New Roman"/>
        </w:rPr>
        <w:t>, giacché</w:t>
      </w:r>
      <w:r w:rsidRPr="005943B5">
        <w:rPr>
          <w:rFonts w:ascii="Times New Roman" w:hAnsi="Times New Roman" w:cs="Times New Roman"/>
        </w:rPr>
        <w:t xml:space="preserve"> </w:t>
      </w:r>
      <w:r>
        <w:rPr>
          <w:rFonts w:ascii="Times New Roman" w:hAnsi="Times New Roman" w:cs="Times New Roman"/>
        </w:rPr>
        <w:t xml:space="preserve">il </w:t>
      </w:r>
      <w:r w:rsidR="00B31C3E">
        <w:rPr>
          <w:rFonts w:ascii="Times New Roman" w:hAnsi="Times New Roman" w:cs="Times New Roman"/>
        </w:rPr>
        <w:t>legislatore</w:t>
      </w:r>
      <w:r>
        <w:rPr>
          <w:rFonts w:ascii="Times New Roman" w:hAnsi="Times New Roman" w:cs="Times New Roman"/>
        </w:rPr>
        <w:t xml:space="preserve"> italiano</w:t>
      </w:r>
      <w:r w:rsidR="00F60F91">
        <w:rPr>
          <w:rFonts w:ascii="Times New Roman" w:hAnsi="Times New Roman" w:cs="Times New Roman"/>
        </w:rPr>
        <w:t>, a seguito della sentenza della Consulta sui c.d. “fratelli minori di Scoppola”</w:t>
      </w:r>
      <w:r w:rsidR="00F60F91">
        <w:rPr>
          <w:rStyle w:val="Rimandonotaapidipagina"/>
          <w:rFonts w:ascii="Times New Roman" w:hAnsi="Times New Roman" w:cs="Times New Roman"/>
        </w:rPr>
        <w:footnoteReference w:id="74"/>
      </w:r>
      <w:r w:rsidR="00F60F91">
        <w:rPr>
          <w:rFonts w:ascii="Times New Roman" w:hAnsi="Times New Roman" w:cs="Times New Roman"/>
        </w:rPr>
        <w:t>,</w:t>
      </w:r>
      <w:r>
        <w:rPr>
          <w:rFonts w:ascii="Times New Roman" w:hAnsi="Times New Roman" w:cs="Times New Roman"/>
        </w:rPr>
        <w:t xml:space="preserve"> è obbligato a provvedere con “misure generali” al fine di garantire il rispetto dei diritti umani enunciati dalla </w:t>
      </w:r>
      <w:r w:rsidRPr="005943B5">
        <w:rPr>
          <w:rFonts w:ascii="Times New Roman" w:hAnsi="Times New Roman" w:cs="Times New Roman"/>
        </w:rPr>
        <w:t>Corte EDU</w:t>
      </w:r>
      <w:r>
        <w:rPr>
          <w:rFonts w:ascii="Times New Roman" w:hAnsi="Times New Roman" w:cs="Times New Roman"/>
        </w:rPr>
        <w:t>, quando vi sia</w:t>
      </w:r>
      <w:r w:rsidRPr="005943B5">
        <w:rPr>
          <w:rFonts w:ascii="Times New Roman" w:hAnsi="Times New Roman" w:cs="Times New Roman"/>
        </w:rPr>
        <w:t xml:space="preserve"> un problema strutturale dell’ordinamento italiano e</w:t>
      </w:r>
      <w:r>
        <w:rPr>
          <w:rFonts w:ascii="Times New Roman" w:hAnsi="Times New Roman" w:cs="Times New Roman"/>
        </w:rPr>
        <w:t>d anche se coloro che potrebbero essere vittime di una violazione non abbiano presentato ricorso.</w:t>
      </w:r>
    </w:p>
    <w:p w14:paraId="1999FCB9" w14:textId="25633E8D" w:rsidR="00B27887" w:rsidRDefault="002F0AD5" w:rsidP="003A63CD">
      <w:pPr>
        <w:pStyle w:val="Default"/>
        <w:widowControl/>
        <w:spacing w:after="100" w:afterAutospacing="1" w:line="276" w:lineRule="auto"/>
        <w:ind w:firstLine="454"/>
        <w:jc w:val="both"/>
        <w:rPr>
          <w:rFonts w:ascii="Times New Roman" w:hAnsi="Times New Roman" w:cs="Times New Roman"/>
        </w:rPr>
      </w:pPr>
      <w:r>
        <w:rPr>
          <w:rFonts w:ascii="Times New Roman" w:hAnsi="Times New Roman" w:cs="Times New Roman"/>
        </w:rPr>
        <w:t>A</w:t>
      </w:r>
      <w:r w:rsidR="003B6513" w:rsidRPr="00B27887">
        <w:rPr>
          <w:rFonts w:ascii="Times New Roman" w:hAnsi="Times New Roman" w:cs="Times New Roman"/>
        </w:rPr>
        <w:t xml:space="preserve"> tal proposito</w:t>
      </w:r>
      <w:r>
        <w:rPr>
          <w:rFonts w:ascii="Times New Roman" w:hAnsi="Times New Roman" w:cs="Times New Roman"/>
        </w:rPr>
        <w:t xml:space="preserve"> si</w:t>
      </w:r>
      <w:r w:rsidR="003B6513" w:rsidRPr="00B27887">
        <w:rPr>
          <w:rFonts w:ascii="Times New Roman" w:hAnsi="Times New Roman" w:cs="Times New Roman"/>
        </w:rPr>
        <w:t xml:space="preserve"> richiama il valore della giurisprudenza della Corte EDU nell’ordinamento interno come stabilito dalla Corte Costituzionale nell</w:t>
      </w:r>
      <w:r w:rsidR="00B27887" w:rsidRPr="00B27887">
        <w:rPr>
          <w:rFonts w:ascii="Times New Roman" w:hAnsi="Times New Roman" w:cs="Times New Roman"/>
        </w:rPr>
        <w:t>e</w:t>
      </w:r>
      <w:r w:rsidR="003B6513" w:rsidRPr="00B27887">
        <w:rPr>
          <w:rFonts w:ascii="Times New Roman" w:hAnsi="Times New Roman" w:cs="Times New Roman"/>
        </w:rPr>
        <w:t xml:space="preserve"> sentenz</w:t>
      </w:r>
      <w:r w:rsidR="00B27887" w:rsidRPr="00B27887">
        <w:rPr>
          <w:rFonts w:ascii="Times New Roman" w:hAnsi="Times New Roman" w:cs="Times New Roman"/>
        </w:rPr>
        <w:t>e</w:t>
      </w:r>
      <w:r w:rsidR="00502D44" w:rsidRPr="00B27887">
        <w:rPr>
          <w:rFonts w:ascii="Times New Roman" w:hAnsi="Times New Roman" w:cs="Times New Roman"/>
        </w:rPr>
        <w:t xml:space="preserve"> 348</w:t>
      </w:r>
      <w:r w:rsidR="00B27887" w:rsidRPr="00B27887">
        <w:rPr>
          <w:rFonts w:ascii="Times New Roman" w:hAnsi="Times New Roman" w:cs="Times New Roman"/>
        </w:rPr>
        <w:t xml:space="preserve"> e 349</w:t>
      </w:r>
      <w:r w:rsidR="00502D44" w:rsidRPr="00B27887">
        <w:rPr>
          <w:rFonts w:ascii="Times New Roman" w:hAnsi="Times New Roman" w:cs="Times New Roman"/>
        </w:rPr>
        <w:t xml:space="preserve"> del 2007, la quale</w:t>
      </w:r>
      <w:r w:rsidR="00342237" w:rsidRPr="00B27887">
        <w:rPr>
          <w:rFonts w:ascii="Times New Roman" w:hAnsi="Times New Roman" w:cs="Times New Roman"/>
        </w:rPr>
        <w:t xml:space="preserve"> attribuisce alle </w:t>
      </w:r>
      <w:r w:rsidR="00342237" w:rsidRPr="00B27887">
        <w:rPr>
          <w:rFonts w:ascii="Times New Roman" w:hAnsi="Times New Roman" w:cs="Times New Roman"/>
          <w:i/>
        </w:rPr>
        <w:t>«norme necessarie [allo scopo di integrare il dettato costituzionale, tra cui rientrano le norme</w:t>
      </w:r>
      <w:r w:rsidR="00A26457">
        <w:rPr>
          <w:rFonts w:ascii="Times New Roman" w:hAnsi="Times New Roman" w:cs="Times New Roman"/>
          <w:i/>
        </w:rPr>
        <w:t xml:space="preserve"> della</w:t>
      </w:r>
      <w:r w:rsidR="00342237" w:rsidRPr="00B27887">
        <w:rPr>
          <w:rFonts w:ascii="Times New Roman" w:hAnsi="Times New Roman" w:cs="Times New Roman"/>
          <w:i/>
        </w:rPr>
        <w:t xml:space="preserve"> C</w:t>
      </w:r>
      <w:r w:rsidR="00A26457">
        <w:rPr>
          <w:rFonts w:ascii="Times New Roman" w:hAnsi="Times New Roman" w:cs="Times New Roman"/>
          <w:i/>
        </w:rPr>
        <w:t xml:space="preserve">onvenzione </w:t>
      </w:r>
      <w:r w:rsidR="00342237" w:rsidRPr="00B27887">
        <w:rPr>
          <w:rFonts w:ascii="Times New Roman" w:hAnsi="Times New Roman" w:cs="Times New Roman"/>
          <w:i/>
        </w:rPr>
        <w:t>EDU, un] rango subordinato alla Costituzione, ma intermedio tra questa e la legge ordinaria»</w:t>
      </w:r>
      <w:r w:rsidR="00B27887" w:rsidRPr="00B27887">
        <w:rPr>
          <w:rStyle w:val="Rimandonotaapidipagina"/>
          <w:rFonts w:ascii="Times New Roman" w:hAnsi="Times New Roman" w:cs="Times New Roman"/>
        </w:rPr>
        <w:footnoteReference w:id="75"/>
      </w:r>
      <w:r w:rsidR="00B27887" w:rsidRPr="00B27887">
        <w:rPr>
          <w:rFonts w:ascii="Times New Roman" w:hAnsi="Times New Roman" w:cs="Times New Roman"/>
          <w:i/>
        </w:rPr>
        <w:t>.</w:t>
      </w:r>
      <w:r w:rsidR="00342237" w:rsidRPr="00B27887">
        <w:rPr>
          <w:rFonts w:ascii="Times New Roman" w:hAnsi="Times New Roman" w:cs="Times New Roman"/>
        </w:rPr>
        <w:t xml:space="preserve"> Ne</w:t>
      </w:r>
      <w:r w:rsidR="00B27887">
        <w:rPr>
          <w:rFonts w:ascii="Times New Roman" w:hAnsi="Times New Roman" w:cs="Times New Roman"/>
        </w:rPr>
        <w:t xml:space="preserve"> discende che, se una norma </w:t>
      </w:r>
      <w:r w:rsidR="00342237" w:rsidRPr="00B27887">
        <w:rPr>
          <w:rFonts w:ascii="Times New Roman" w:hAnsi="Times New Roman" w:cs="Times New Roman"/>
        </w:rPr>
        <w:t xml:space="preserve">appare </w:t>
      </w:r>
      <w:r w:rsidR="00B27887">
        <w:rPr>
          <w:rFonts w:ascii="Times New Roman" w:hAnsi="Times New Roman" w:cs="Times New Roman"/>
        </w:rPr>
        <w:t>così oscura</w:t>
      </w:r>
      <w:r w:rsidR="00342237" w:rsidRPr="00B27887">
        <w:rPr>
          <w:rFonts w:ascii="Times New Roman" w:hAnsi="Times New Roman" w:cs="Times New Roman"/>
        </w:rPr>
        <w:t xml:space="preserve"> </w:t>
      </w:r>
      <w:r w:rsidR="00B27887">
        <w:rPr>
          <w:rFonts w:ascii="Times New Roman" w:hAnsi="Times New Roman" w:cs="Times New Roman"/>
        </w:rPr>
        <w:t>ch</w:t>
      </w:r>
      <w:r w:rsidR="00342237" w:rsidRPr="00B27887">
        <w:rPr>
          <w:rFonts w:ascii="Times New Roman" w:hAnsi="Times New Roman" w:cs="Times New Roman"/>
        </w:rPr>
        <w:t xml:space="preserve">e </w:t>
      </w:r>
      <w:r w:rsidR="00B27887" w:rsidRPr="00B27887">
        <w:rPr>
          <w:rFonts w:ascii="Times New Roman" w:hAnsi="Times New Roman" w:cs="Times New Roman"/>
        </w:rPr>
        <w:t>per il giudice</w:t>
      </w:r>
      <w:r w:rsidR="00B27887">
        <w:rPr>
          <w:rFonts w:ascii="Times New Roman" w:hAnsi="Times New Roman" w:cs="Times New Roman"/>
        </w:rPr>
        <w:t xml:space="preserve"> non è possibile</w:t>
      </w:r>
      <w:r w:rsidR="00B27887" w:rsidRPr="00B27887">
        <w:rPr>
          <w:rFonts w:ascii="Times New Roman" w:hAnsi="Times New Roman" w:cs="Times New Roman"/>
        </w:rPr>
        <w:t xml:space="preserve"> darne un’interpretazione conforme, </w:t>
      </w:r>
      <w:r w:rsidR="00B27887" w:rsidRPr="00B27887">
        <w:rPr>
          <w:rFonts w:ascii="Times New Roman" w:hAnsi="Times New Roman" w:cs="Times New Roman"/>
          <w:i/>
        </w:rPr>
        <w:t>«egli deve investire [la Corte costituzionale] della relativa questione di legittimità costituzionale rispetto al parametro dell'art. 117, primo comma»</w:t>
      </w:r>
      <w:r w:rsidR="00B27887" w:rsidRPr="00B27887">
        <w:rPr>
          <w:rStyle w:val="Rimandonotaapidipagina"/>
          <w:rFonts w:ascii="Times New Roman" w:hAnsi="Times New Roman" w:cs="Times New Roman"/>
        </w:rPr>
        <w:footnoteReference w:id="76"/>
      </w:r>
      <w:r w:rsidR="00B27887" w:rsidRPr="00B27887">
        <w:rPr>
          <w:rFonts w:ascii="Times New Roman" w:hAnsi="Times New Roman" w:cs="Times New Roman"/>
        </w:rPr>
        <w:t xml:space="preserve">. </w:t>
      </w:r>
    </w:p>
    <w:p w14:paraId="77C09A6D" w14:textId="1B1D6AC4" w:rsidR="002868FC" w:rsidRDefault="00F60F91" w:rsidP="003A63CD">
      <w:pPr>
        <w:pStyle w:val="Default"/>
        <w:widowControl/>
        <w:spacing w:after="100" w:afterAutospacing="1" w:line="276" w:lineRule="auto"/>
        <w:ind w:firstLine="454"/>
        <w:jc w:val="both"/>
        <w:rPr>
          <w:rFonts w:ascii="Times New Roman" w:hAnsi="Times New Roman" w:cs="Times New Roman"/>
        </w:rPr>
      </w:pPr>
      <w:r>
        <w:rPr>
          <w:rFonts w:ascii="Times New Roman" w:hAnsi="Times New Roman" w:cs="Times New Roman"/>
        </w:rPr>
        <w:t xml:space="preserve">La pronuncia della Corte EDU avrà così principalmente una proiezione </w:t>
      </w:r>
      <w:r w:rsidRPr="00811F7D">
        <w:rPr>
          <w:rFonts w:ascii="Times New Roman" w:hAnsi="Times New Roman" w:cs="Times New Roman"/>
          <w:i/>
        </w:rPr>
        <w:t>pro futuro</w:t>
      </w:r>
      <w:r>
        <w:rPr>
          <w:rFonts w:ascii="Times New Roman" w:hAnsi="Times New Roman" w:cs="Times New Roman"/>
        </w:rPr>
        <w:t xml:space="preserve">, posto che </w:t>
      </w:r>
      <w:r w:rsidR="00811F7D">
        <w:rPr>
          <w:rFonts w:ascii="Times New Roman" w:hAnsi="Times New Roman" w:cs="Times New Roman"/>
        </w:rPr>
        <w:t>nelle more il reato è stato dichiarato prescritto dal</w:t>
      </w:r>
      <w:r>
        <w:rPr>
          <w:rFonts w:ascii="Times New Roman" w:hAnsi="Times New Roman" w:cs="Times New Roman"/>
        </w:rPr>
        <w:t>la Cassazione</w:t>
      </w:r>
      <w:r w:rsidR="00811F7D">
        <w:rPr>
          <w:rStyle w:val="Rimandonotaapidipagina"/>
          <w:rFonts w:ascii="Times New Roman" w:hAnsi="Times New Roman" w:cs="Times New Roman"/>
        </w:rPr>
        <w:footnoteReference w:id="77"/>
      </w:r>
      <w:r w:rsidR="00811F7D">
        <w:rPr>
          <w:rFonts w:ascii="Times New Roman" w:hAnsi="Times New Roman" w:cs="Times New Roman"/>
        </w:rPr>
        <w:t>.</w:t>
      </w:r>
      <w:r>
        <w:rPr>
          <w:rFonts w:ascii="Times New Roman" w:hAnsi="Times New Roman" w:cs="Times New Roman"/>
        </w:rPr>
        <w:t xml:space="preserve"> </w:t>
      </w:r>
      <w:r w:rsidR="002F0AD5" w:rsidRPr="005943B5">
        <w:rPr>
          <w:rFonts w:ascii="Times New Roman" w:hAnsi="Times New Roman" w:cs="Times New Roman"/>
        </w:rPr>
        <w:t xml:space="preserve">In </w:t>
      </w:r>
      <w:r w:rsidR="00811F7D">
        <w:rPr>
          <w:rFonts w:ascii="Times New Roman" w:hAnsi="Times New Roman" w:cs="Times New Roman"/>
        </w:rPr>
        <w:t>primo luogo,</w:t>
      </w:r>
      <w:r w:rsidR="002F0AD5">
        <w:rPr>
          <w:rFonts w:ascii="Times New Roman" w:hAnsi="Times New Roman" w:cs="Times New Roman"/>
        </w:rPr>
        <w:t xml:space="preserve"> si </w:t>
      </w:r>
      <w:r w:rsidR="00811F7D">
        <w:rPr>
          <w:rFonts w:ascii="Times New Roman" w:hAnsi="Times New Roman" w:cs="Times New Roman"/>
        </w:rPr>
        <w:t>deve affrontare l’eventualità di</w:t>
      </w:r>
      <w:r w:rsidR="002F0AD5">
        <w:rPr>
          <w:rFonts w:ascii="Times New Roman" w:hAnsi="Times New Roman" w:cs="Times New Roman"/>
        </w:rPr>
        <w:t xml:space="preserve"> un caso analogo in cui sia ancora pendente un procedimento penale in seguito alla conclusione di quello amministrativo</w:t>
      </w:r>
      <w:r w:rsidR="00264EB1">
        <w:rPr>
          <w:rFonts w:ascii="Times New Roman" w:hAnsi="Times New Roman" w:cs="Times New Roman"/>
        </w:rPr>
        <w:t xml:space="preserve">. </w:t>
      </w:r>
    </w:p>
    <w:p w14:paraId="20A1F5BF" w14:textId="6B6377C5" w:rsidR="00A67C19" w:rsidRDefault="00264EB1" w:rsidP="003A63CD">
      <w:pPr>
        <w:pStyle w:val="Default"/>
        <w:widowControl/>
        <w:spacing w:after="100" w:afterAutospacing="1" w:line="276" w:lineRule="auto"/>
        <w:ind w:firstLine="454"/>
        <w:jc w:val="both"/>
        <w:rPr>
          <w:rFonts w:ascii="Times New Roman" w:hAnsi="Times New Roman" w:cs="Times New Roman"/>
        </w:rPr>
      </w:pPr>
      <w:r>
        <w:rPr>
          <w:rFonts w:ascii="Times New Roman" w:hAnsi="Times New Roman" w:cs="Times New Roman"/>
        </w:rPr>
        <w:t>In tali circostanze, la dottrina ha ritenuto che un’interpretazione conforme alla C</w:t>
      </w:r>
      <w:r w:rsidR="00A26457">
        <w:rPr>
          <w:rFonts w:ascii="Times New Roman" w:hAnsi="Times New Roman" w:cs="Times New Roman"/>
        </w:rPr>
        <w:t xml:space="preserve">onvenzione </w:t>
      </w:r>
      <w:r>
        <w:rPr>
          <w:rFonts w:ascii="Times New Roman" w:hAnsi="Times New Roman" w:cs="Times New Roman"/>
        </w:rPr>
        <w:t xml:space="preserve">EDU vorrebbe la chiusura del procedimento penale. </w:t>
      </w:r>
      <w:r w:rsidR="009D0CEA">
        <w:rPr>
          <w:rFonts w:ascii="Times New Roman" w:hAnsi="Times New Roman" w:cs="Times New Roman"/>
        </w:rPr>
        <w:t xml:space="preserve">Si dovrebbe così dare una </w:t>
      </w:r>
      <w:r w:rsidR="00A67C19">
        <w:rPr>
          <w:rFonts w:ascii="Times New Roman" w:hAnsi="Times New Roman" w:cs="Times New Roman"/>
        </w:rPr>
        <w:t>interpretazione convenzionalmente conforme</w:t>
      </w:r>
      <w:r w:rsidR="002868FC">
        <w:rPr>
          <w:rFonts w:ascii="Times New Roman" w:hAnsi="Times New Roman" w:cs="Times New Roman"/>
        </w:rPr>
        <w:t xml:space="preserve"> </w:t>
      </w:r>
      <w:r w:rsidR="00A67C19">
        <w:rPr>
          <w:rFonts w:ascii="Times New Roman" w:hAnsi="Times New Roman" w:cs="Times New Roman"/>
        </w:rPr>
        <w:t>del</w:t>
      </w:r>
      <w:r w:rsidR="009D0CEA">
        <w:rPr>
          <w:rFonts w:ascii="Times New Roman" w:hAnsi="Times New Roman" w:cs="Times New Roman"/>
        </w:rPr>
        <w:t>l’art. 649 c.p.p.</w:t>
      </w:r>
      <w:r w:rsidR="002868FC">
        <w:rPr>
          <w:rFonts w:ascii="Times New Roman" w:hAnsi="Times New Roman" w:cs="Times New Roman"/>
        </w:rPr>
        <w:t xml:space="preserve"> </w:t>
      </w:r>
      <w:r w:rsidR="00F1067B">
        <w:rPr>
          <w:rFonts w:ascii="Times New Roman" w:hAnsi="Times New Roman" w:cs="Times New Roman"/>
        </w:rPr>
        <w:t>poiché esso</w:t>
      </w:r>
      <w:r w:rsidR="002868FC">
        <w:rPr>
          <w:rFonts w:ascii="Times New Roman" w:hAnsi="Times New Roman" w:cs="Times New Roman"/>
        </w:rPr>
        <w:t xml:space="preserve"> </w:t>
      </w:r>
      <w:r w:rsidR="002868FC" w:rsidRPr="002868FC">
        <w:rPr>
          <w:rFonts w:ascii="Times New Roman" w:hAnsi="Times New Roman" w:cs="Times New Roman"/>
          <w:i/>
        </w:rPr>
        <w:t>«afferma un principio di garanzia, è norma di portata generale e non certo eccezionale»</w:t>
      </w:r>
      <w:r w:rsidR="002868FC">
        <w:rPr>
          <w:rStyle w:val="Rimandonotaapidipagina"/>
          <w:rFonts w:ascii="Times New Roman" w:hAnsi="Times New Roman" w:cs="Times New Roman"/>
        </w:rPr>
        <w:footnoteReference w:id="78"/>
      </w:r>
      <w:r w:rsidR="002868FC">
        <w:rPr>
          <w:rFonts w:ascii="Times New Roman" w:hAnsi="Times New Roman" w:cs="Times New Roman"/>
        </w:rPr>
        <w:t>.</w:t>
      </w:r>
      <w:r w:rsidR="009D0CEA">
        <w:rPr>
          <w:rFonts w:ascii="Times New Roman" w:hAnsi="Times New Roman" w:cs="Times New Roman"/>
        </w:rPr>
        <w:t xml:space="preserve"> </w:t>
      </w:r>
      <w:r w:rsidR="002868FC">
        <w:rPr>
          <w:rFonts w:ascii="Times New Roman" w:hAnsi="Times New Roman" w:cs="Times New Roman"/>
        </w:rPr>
        <w:t>Nel</w:t>
      </w:r>
      <w:r w:rsidR="009D0CEA">
        <w:rPr>
          <w:rFonts w:ascii="Times New Roman" w:hAnsi="Times New Roman" w:cs="Times New Roman"/>
        </w:rPr>
        <w:t xml:space="preserve"> concetto di “sentenza o decreto penale di condanna divenuti irrevocabili” </w:t>
      </w:r>
      <w:r w:rsidR="002868FC">
        <w:rPr>
          <w:rFonts w:ascii="Times New Roman" w:hAnsi="Times New Roman" w:cs="Times New Roman"/>
        </w:rPr>
        <w:t>dovrebbero rientrare</w:t>
      </w:r>
      <w:r w:rsidR="009D0CEA">
        <w:rPr>
          <w:rFonts w:ascii="Times New Roman" w:hAnsi="Times New Roman" w:cs="Times New Roman"/>
        </w:rPr>
        <w:t xml:space="preserve"> anche i provvedimenti di condanna definiti sostanzialmente “penali” dalla Corte di Strasburgo</w:t>
      </w:r>
      <w:r w:rsidR="009D0CEA">
        <w:rPr>
          <w:rStyle w:val="Rimandonotaapidipagina"/>
          <w:rFonts w:ascii="Times New Roman" w:hAnsi="Times New Roman" w:cs="Times New Roman"/>
        </w:rPr>
        <w:footnoteReference w:id="79"/>
      </w:r>
      <w:r w:rsidR="009D0CEA">
        <w:rPr>
          <w:rFonts w:ascii="Times New Roman" w:hAnsi="Times New Roman" w:cs="Times New Roman"/>
        </w:rPr>
        <w:t xml:space="preserve">. </w:t>
      </w:r>
    </w:p>
    <w:p w14:paraId="710A8155" w14:textId="5CE30B05" w:rsidR="00F77B67" w:rsidRDefault="009D0CEA" w:rsidP="003A63CD">
      <w:pPr>
        <w:pStyle w:val="Default"/>
        <w:widowControl/>
        <w:spacing w:after="100" w:afterAutospacing="1" w:line="276" w:lineRule="auto"/>
        <w:ind w:firstLine="454"/>
        <w:jc w:val="both"/>
        <w:rPr>
          <w:rFonts w:ascii="Times New Roman" w:hAnsi="Times New Roman" w:cs="Times New Roman"/>
        </w:rPr>
      </w:pPr>
      <w:r>
        <w:rPr>
          <w:rFonts w:ascii="Times New Roman" w:hAnsi="Times New Roman" w:cs="Times New Roman"/>
        </w:rPr>
        <w:t>Nulla peraltro osta a garantire l’applicazione</w:t>
      </w:r>
      <w:r w:rsidR="005D37E3">
        <w:rPr>
          <w:rFonts w:ascii="Times New Roman" w:hAnsi="Times New Roman" w:cs="Times New Roman"/>
        </w:rPr>
        <w:t xml:space="preserve"> del</w:t>
      </w:r>
      <w:r>
        <w:rPr>
          <w:rFonts w:ascii="Times New Roman" w:hAnsi="Times New Roman" w:cs="Times New Roman"/>
        </w:rPr>
        <w:t xml:space="preserve"> principio </w:t>
      </w:r>
      <w:r w:rsidR="00176C0C">
        <w:rPr>
          <w:rFonts w:ascii="Times New Roman" w:hAnsi="Times New Roman" w:cs="Times New Roman"/>
        </w:rPr>
        <w:t xml:space="preserve">anche nel </w:t>
      </w:r>
      <w:r>
        <w:rPr>
          <w:rFonts w:ascii="Times New Roman" w:hAnsi="Times New Roman" w:cs="Times New Roman"/>
        </w:rPr>
        <w:t>senso inverso</w:t>
      </w:r>
      <w:r w:rsidR="00176C0C">
        <w:rPr>
          <w:rFonts w:ascii="Times New Roman" w:hAnsi="Times New Roman" w:cs="Times New Roman"/>
        </w:rPr>
        <w:t>, con chiusura del procedimento amministrativo in presenza di una sentenza penale</w:t>
      </w:r>
      <w:r w:rsidR="005D37E3">
        <w:rPr>
          <w:rFonts w:ascii="Times New Roman" w:hAnsi="Times New Roman" w:cs="Times New Roman"/>
        </w:rPr>
        <w:t xml:space="preserve"> irrevocabile</w:t>
      </w:r>
      <w:r w:rsidR="005D37E3">
        <w:rPr>
          <w:rStyle w:val="Rimandonotaapidipagina"/>
          <w:rFonts w:ascii="Times New Roman" w:hAnsi="Times New Roman" w:cs="Times New Roman"/>
        </w:rPr>
        <w:footnoteReference w:id="80"/>
      </w:r>
      <w:r>
        <w:rPr>
          <w:rFonts w:ascii="Times New Roman" w:hAnsi="Times New Roman" w:cs="Times New Roman"/>
        </w:rPr>
        <w:t>.</w:t>
      </w:r>
      <w:r w:rsidR="00A67C19">
        <w:rPr>
          <w:rFonts w:ascii="Times New Roman" w:hAnsi="Times New Roman" w:cs="Times New Roman"/>
        </w:rPr>
        <w:t xml:space="preserve"> Il </w:t>
      </w:r>
      <w:r w:rsidR="00A67C19" w:rsidRPr="00FF2CD2">
        <w:rPr>
          <w:rFonts w:ascii="Times New Roman" w:hAnsi="Times New Roman" w:cs="Times New Roman"/>
          <w:i/>
        </w:rPr>
        <w:t>ne bis in idem</w:t>
      </w:r>
      <w:r w:rsidR="00A67C19">
        <w:rPr>
          <w:rFonts w:ascii="Times New Roman" w:hAnsi="Times New Roman" w:cs="Times New Roman"/>
        </w:rPr>
        <w:t xml:space="preserve"> è infatti principio </w:t>
      </w:r>
      <w:r w:rsidR="00EC3CE8">
        <w:rPr>
          <w:rFonts w:ascii="Times New Roman" w:hAnsi="Times New Roman" w:cs="Times New Roman"/>
        </w:rPr>
        <w:t>la cui estensione analogica non solo è teoricamente possibile, ma in concreto è già avvenuta ad opera delle Sezioni Unite nella sentenza Donati</w:t>
      </w:r>
      <w:r w:rsidR="00EC3CE8">
        <w:rPr>
          <w:rStyle w:val="Rimandonotaapidipagina"/>
          <w:rFonts w:ascii="Times New Roman" w:hAnsi="Times New Roman" w:cs="Times New Roman"/>
        </w:rPr>
        <w:footnoteReference w:id="81"/>
      </w:r>
      <w:r w:rsidR="00EC3CE8">
        <w:rPr>
          <w:rFonts w:ascii="Times New Roman" w:hAnsi="Times New Roman" w:cs="Times New Roman"/>
        </w:rPr>
        <w:t xml:space="preserve">. </w:t>
      </w:r>
    </w:p>
    <w:p w14:paraId="2B0890AC" w14:textId="42ABA395" w:rsidR="00A67C19" w:rsidRDefault="00A67C19" w:rsidP="003A63CD">
      <w:pPr>
        <w:pStyle w:val="Default"/>
        <w:widowControl/>
        <w:spacing w:after="100" w:afterAutospacing="1" w:line="276" w:lineRule="auto"/>
        <w:ind w:firstLine="454"/>
        <w:jc w:val="both"/>
        <w:rPr>
          <w:rFonts w:ascii="Times New Roman" w:hAnsi="Times New Roman" w:cs="Times New Roman"/>
        </w:rPr>
      </w:pPr>
      <w:r>
        <w:rPr>
          <w:rFonts w:ascii="Times New Roman" w:hAnsi="Times New Roman" w:cs="Times New Roman"/>
        </w:rPr>
        <w:t xml:space="preserve">Qualora </w:t>
      </w:r>
      <w:r w:rsidR="00FF2CD2">
        <w:rPr>
          <w:rFonts w:ascii="Times New Roman" w:hAnsi="Times New Roman" w:cs="Times New Roman"/>
        </w:rPr>
        <w:t xml:space="preserve">però </w:t>
      </w:r>
      <w:r>
        <w:rPr>
          <w:rFonts w:ascii="Times New Roman" w:hAnsi="Times New Roman" w:cs="Times New Roman"/>
        </w:rPr>
        <w:t xml:space="preserve">non si voglia accogliere tale opzione, residuerebbe la possibilità di proporre questione di legittimità costituzionale per contrasto tra l’art. 117, primo comma, della Costituzione con riferimento all’obbligo internazionale scaturente dall’interpretazione del </w:t>
      </w:r>
      <w:r w:rsidRPr="00A67C19">
        <w:rPr>
          <w:rFonts w:ascii="Times New Roman" w:hAnsi="Times New Roman" w:cs="Times New Roman"/>
          <w:i/>
        </w:rPr>
        <w:t>ne bis in idem</w:t>
      </w:r>
      <w:r>
        <w:rPr>
          <w:rFonts w:ascii="Times New Roman" w:hAnsi="Times New Roman" w:cs="Times New Roman"/>
        </w:rPr>
        <w:t xml:space="preserve"> nel caso Grande Stevens.</w:t>
      </w:r>
      <w:r w:rsidR="00BE442F">
        <w:rPr>
          <w:rFonts w:ascii="Times New Roman" w:hAnsi="Times New Roman" w:cs="Times New Roman"/>
        </w:rPr>
        <w:t xml:space="preserve"> Certamente la Consulta potrebbe far valere quei “controlimiti” enunciati nelle già citate sentenze 348 e 349 del 2007</w:t>
      </w:r>
      <w:r w:rsidR="0047606F">
        <w:rPr>
          <w:rFonts w:ascii="Times New Roman" w:hAnsi="Times New Roman" w:cs="Times New Roman"/>
        </w:rPr>
        <w:t xml:space="preserve"> quale estrema salvaguardia dei principi fondamentali dell’ordinamento contro le ingerenze del diritto internazionale e ed europeo. Ma nel caso di specie </w:t>
      </w:r>
      <w:r w:rsidR="0047606F" w:rsidRPr="0047606F">
        <w:rPr>
          <w:rFonts w:ascii="Times New Roman" w:hAnsi="Times New Roman" w:cs="Times New Roman"/>
          <w:i/>
        </w:rPr>
        <w:t>«non si vede per quali cogenti ragioni la Corte costituzionale dovrebbe opporsi alle istanze di tutela del diritto al ne bis in idem di cui si fa portatrice la Corte europea»</w:t>
      </w:r>
      <w:r w:rsidR="0047606F">
        <w:rPr>
          <w:rFonts w:ascii="Times New Roman" w:hAnsi="Times New Roman" w:cs="Times New Roman"/>
        </w:rPr>
        <w:t>.</w:t>
      </w:r>
      <w:r w:rsidR="0047606F">
        <w:rPr>
          <w:rStyle w:val="Rimandonotaapidipagina"/>
          <w:rFonts w:ascii="Times New Roman" w:hAnsi="Times New Roman" w:cs="Times New Roman"/>
        </w:rPr>
        <w:footnoteReference w:id="82"/>
      </w:r>
    </w:p>
    <w:p w14:paraId="5E016FC3" w14:textId="19701058" w:rsidR="00650250" w:rsidRDefault="00650250" w:rsidP="003A63CD">
      <w:pPr>
        <w:pStyle w:val="Default"/>
        <w:widowControl/>
        <w:spacing w:after="100" w:afterAutospacing="1" w:line="276" w:lineRule="auto"/>
        <w:ind w:firstLine="454"/>
        <w:jc w:val="both"/>
        <w:rPr>
          <w:rFonts w:ascii="Times New Roman" w:hAnsi="Times New Roman" w:cs="Times New Roman"/>
        </w:rPr>
      </w:pPr>
      <w:r>
        <w:rPr>
          <w:rFonts w:ascii="Times New Roman" w:hAnsi="Times New Roman" w:cs="Times New Roman"/>
        </w:rPr>
        <w:t xml:space="preserve">Se, infatti, si può sollevare l’obiezione del rispetto della riserva di legge </w:t>
      </w:r>
      <w:r w:rsidRPr="00650250">
        <w:rPr>
          <w:rFonts w:ascii="Times New Roman" w:hAnsi="Times New Roman" w:cs="Times New Roman"/>
          <w:i/>
        </w:rPr>
        <w:t>ex</w:t>
      </w:r>
      <w:r>
        <w:rPr>
          <w:rFonts w:ascii="Times New Roman" w:hAnsi="Times New Roman" w:cs="Times New Roman"/>
        </w:rPr>
        <w:t xml:space="preserve"> art. 25, secondo comma, della Costituzione, si dovrà altresì notare che la deroga alla legalità formale comporta un’espansione delle garanzie in una logica “multilivello” di protezione dei diritti fondamentali e massimizzazione delle tutele</w:t>
      </w:r>
      <w:r>
        <w:rPr>
          <w:rStyle w:val="Rimandonotaapidipagina"/>
          <w:rFonts w:ascii="Times New Roman" w:hAnsi="Times New Roman" w:cs="Times New Roman"/>
        </w:rPr>
        <w:footnoteReference w:id="83"/>
      </w:r>
      <w:r>
        <w:rPr>
          <w:rFonts w:ascii="Times New Roman" w:hAnsi="Times New Roman" w:cs="Times New Roman"/>
        </w:rPr>
        <w:t>.</w:t>
      </w:r>
    </w:p>
    <w:p w14:paraId="1B0C4145" w14:textId="6154D99E" w:rsidR="005011AD" w:rsidRDefault="005C4EEC" w:rsidP="003A63CD">
      <w:pPr>
        <w:pStyle w:val="Default"/>
        <w:widowControl/>
        <w:spacing w:after="100" w:afterAutospacing="1" w:line="276" w:lineRule="auto"/>
        <w:ind w:firstLine="454"/>
        <w:jc w:val="both"/>
        <w:rPr>
          <w:rFonts w:ascii="Times New Roman" w:hAnsi="Times New Roman" w:cs="Times New Roman"/>
        </w:rPr>
      </w:pPr>
      <w:r>
        <w:rPr>
          <w:rFonts w:ascii="Times New Roman" w:hAnsi="Times New Roman" w:cs="Times New Roman"/>
        </w:rPr>
        <w:t xml:space="preserve">Né potrebbe essere addotto un qualsivoglia vincolo comunitario che possa </w:t>
      </w:r>
      <w:r w:rsidR="00652000">
        <w:rPr>
          <w:rFonts w:ascii="Times New Roman" w:hAnsi="Times New Roman" w:cs="Times New Roman"/>
        </w:rPr>
        <w:t>valere da</w:t>
      </w:r>
      <w:r>
        <w:rPr>
          <w:rFonts w:ascii="Times New Roman" w:hAnsi="Times New Roman" w:cs="Times New Roman"/>
        </w:rPr>
        <w:t xml:space="preserve"> controlimite, </w:t>
      </w:r>
      <w:r w:rsidR="00652000">
        <w:rPr>
          <w:rFonts w:ascii="Times New Roman" w:hAnsi="Times New Roman" w:cs="Times New Roman"/>
        </w:rPr>
        <w:t>problema che</w:t>
      </w:r>
      <w:r>
        <w:rPr>
          <w:rFonts w:ascii="Times New Roman" w:hAnsi="Times New Roman" w:cs="Times New Roman"/>
        </w:rPr>
        <w:t xml:space="preserve"> comunque</w:t>
      </w:r>
      <w:r w:rsidR="00652000">
        <w:rPr>
          <w:rFonts w:ascii="Times New Roman" w:hAnsi="Times New Roman" w:cs="Times New Roman"/>
        </w:rPr>
        <w:t xml:space="preserve"> in concreto non si porrebbe a norma della MAD</w:t>
      </w:r>
      <w:r w:rsidR="00E153A7">
        <w:rPr>
          <w:rStyle w:val="Rimandonotaapidipagina"/>
          <w:rFonts w:ascii="Times New Roman" w:hAnsi="Times New Roman" w:cs="Times New Roman"/>
        </w:rPr>
        <w:footnoteReference w:id="84"/>
      </w:r>
      <w:r w:rsidR="00F146A3">
        <w:rPr>
          <w:rFonts w:ascii="Times New Roman" w:hAnsi="Times New Roman" w:cs="Times New Roman"/>
        </w:rPr>
        <w:t>. Infatti</w:t>
      </w:r>
      <w:r w:rsidR="001F1883">
        <w:rPr>
          <w:rFonts w:ascii="Times New Roman" w:hAnsi="Times New Roman" w:cs="Times New Roman"/>
        </w:rPr>
        <w:t>,</w:t>
      </w:r>
      <w:r w:rsidR="00F146A3">
        <w:rPr>
          <w:rFonts w:ascii="Times New Roman" w:hAnsi="Times New Roman" w:cs="Times New Roman"/>
        </w:rPr>
        <w:t xml:space="preserve"> si deve notare che gli atti dell’Unione europea </w:t>
      </w:r>
      <w:r w:rsidR="001A5AA8">
        <w:rPr>
          <w:rFonts w:ascii="Times New Roman" w:hAnsi="Times New Roman" w:cs="Times New Roman"/>
        </w:rPr>
        <w:t>che non</w:t>
      </w:r>
      <w:r w:rsidR="00F146A3">
        <w:rPr>
          <w:rFonts w:ascii="Times New Roman" w:hAnsi="Times New Roman" w:cs="Times New Roman"/>
        </w:rPr>
        <w:t xml:space="preserve"> rispett</w:t>
      </w:r>
      <w:r w:rsidR="001A5AA8">
        <w:rPr>
          <w:rFonts w:ascii="Times New Roman" w:hAnsi="Times New Roman" w:cs="Times New Roman"/>
        </w:rPr>
        <w:t>ino</w:t>
      </w:r>
      <w:r w:rsidR="00F146A3">
        <w:rPr>
          <w:rFonts w:ascii="Times New Roman" w:hAnsi="Times New Roman" w:cs="Times New Roman"/>
        </w:rPr>
        <w:t xml:space="preserve"> i diritti sanciti da</w:t>
      </w:r>
      <w:r w:rsidR="001F1883">
        <w:rPr>
          <w:rFonts w:ascii="Times New Roman" w:hAnsi="Times New Roman" w:cs="Times New Roman"/>
        </w:rPr>
        <w:t xml:space="preserve">lla Convenzione EDU e dai suoi protocolli </w:t>
      </w:r>
      <w:r w:rsidR="001A5AA8">
        <w:rPr>
          <w:rFonts w:ascii="Times New Roman" w:hAnsi="Times New Roman" w:cs="Times New Roman"/>
        </w:rPr>
        <w:t>violeranno i</w:t>
      </w:r>
      <w:r w:rsidR="001F1883">
        <w:rPr>
          <w:rFonts w:ascii="Times New Roman" w:hAnsi="Times New Roman" w:cs="Times New Roman"/>
        </w:rPr>
        <w:t xml:space="preserve"> principi generali del diritto europeo</w:t>
      </w:r>
      <w:r w:rsidR="00CF1350">
        <w:rPr>
          <w:rFonts w:ascii="Times New Roman" w:hAnsi="Times New Roman" w:cs="Times New Roman"/>
        </w:rPr>
        <w:t>,</w:t>
      </w:r>
      <w:r w:rsidR="001F1883">
        <w:rPr>
          <w:rFonts w:ascii="Times New Roman" w:hAnsi="Times New Roman" w:cs="Times New Roman"/>
        </w:rPr>
        <w:t xml:space="preserve"> </w:t>
      </w:r>
      <w:r w:rsidR="00CF1350">
        <w:rPr>
          <w:rFonts w:ascii="Times New Roman" w:hAnsi="Times New Roman" w:cs="Times New Roman"/>
        </w:rPr>
        <w:t>oltre che</w:t>
      </w:r>
      <w:r w:rsidR="001F1883">
        <w:rPr>
          <w:rFonts w:ascii="Times New Roman" w:hAnsi="Times New Roman" w:cs="Times New Roman"/>
        </w:rPr>
        <w:t xml:space="preserve"> il contenuto minimo dei </w:t>
      </w:r>
      <w:r w:rsidR="00CF1350">
        <w:rPr>
          <w:rFonts w:ascii="Times New Roman" w:hAnsi="Times New Roman" w:cs="Times New Roman"/>
        </w:rPr>
        <w:t xml:space="preserve">diritti </w:t>
      </w:r>
      <w:r w:rsidR="001F1883">
        <w:rPr>
          <w:rFonts w:ascii="Times New Roman" w:hAnsi="Times New Roman" w:cs="Times New Roman"/>
        </w:rPr>
        <w:t xml:space="preserve">corrispondenti </w:t>
      </w:r>
      <w:r w:rsidR="00CF1350">
        <w:rPr>
          <w:rFonts w:ascii="Times New Roman" w:hAnsi="Times New Roman" w:cs="Times New Roman"/>
        </w:rPr>
        <w:t>a quelli</w:t>
      </w:r>
      <w:r w:rsidR="001F1883">
        <w:rPr>
          <w:rFonts w:ascii="Times New Roman" w:hAnsi="Times New Roman" w:cs="Times New Roman"/>
        </w:rPr>
        <w:t xml:space="preserve"> inclusi nella </w:t>
      </w:r>
      <w:r w:rsidR="001D3253">
        <w:rPr>
          <w:rFonts w:ascii="Times New Roman" w:hAnsi="Times New Roman" w:cs="Times New Roman"/>
        </w:rPr>
        <w:t>Carta dei diritti fon</w:t>
      </w:r>
      <w:r w:rsidR="001A5AA8">
        <w:rPr>
          <w:rFonts w:ascii="Times New Roman" w:hAnsi="Times New Roman" w:cs="Times New Roman"/>
        </w:rPr>
        <w:t>damentali dell’Unione europea</w:t>
      </w:r>
      <w:r w:rsidR="00CF1350">
        <w:rPr>
          <w:rFonts w:ascii="Times New Roman" w:hAnsi="Times New Roman" w:cs="Times New Roman"/>
        </w:rPr>
        <w:t xml:space="preserve">. </w:t>
      </w:r>
      <w:r>
        <w:rPr>
          <w:rFonts w:ascii="Times New Roman" w:hAnsi="Times New Roman" w:cs="Times New Roman"/>
        </w:rPr>
        <w:t>Infatti, sia la Convenzione EDU sia la Carta dei diritti fondamentali</w:t>
      </w:r>
      <w:r w:rsidR="00CF1350">
        <w:rPr>
          <w:rFonts w:ascii="Times New Roman" w:hAnsi="Times New Roman" w:cs="Times New Roman"/>
        </w:rPr>
        <w:t xml:space="preserve"> sono </w:t>
      </w:r>
      <w:r>
        <w:rPr>
          <w:rFonts w:ascii="Times New Roman" w:hAnsi="Times New Roman" w:cs="Times New Roman"/>
        </w:rPr>
        <w:t>richiamate</w:t>
      </w:r>
      <w:r w:rsidR="00CF1350">
        <w:rPr>
          <w:rFonts w:ascii="Times New Roman" w:hAnsi="Times New Roman" w:cs="Times New Roman"/>
        </w:rPr>
        <w:t xml:space="preserve"> dall’art. 6 del T.U.E.</w:t>
      </w:r>
      <w:r w:rsidR="00CF1350">
        <w:rPr>
          <w:rStyle w:val="Rimandonotaapidipagina"/>
          <w:rFonts w:ascii="Times New Roman" w:hAnsi="Times New Roman" w:cs="Times New Roman"/>
        </w:rPr>
        <w:footnoteReference w:id="85"/>
      </w:r>
      <w:r w:rsidR="00CF1350">
        <w:rPr>
          <w:rFonts w:ascii="Times New Roman" w:hAnsi="Times New Roman" w:cs="Times New Roman"/>
        </w:rPr>
        <w:t>,</w:t>
      </w:r>
      <w:r w:rsidR="001A5AA8">
        <w:rPr>
          <w:rFonts w:ascii="Times New Roman" w:hAnsi="Times New Roman" w:cs="Times New Roman"/>
        </w:rPr>
        <w:t xml:space="preserve"> dunque </w:t>
      </w:r>
      <w:r>
        <w:rPr>
          <w:rFonts w:ascii="Times New Roman" w:hAnsi="Times New Roman" w:cs="Times New Roman"/>
        </w:rPr>
        <w:t>gli atti che le violino potranno essere dichiarati invalidi</w:t>
      </w:r>
      <w:r w:rsidR="001A5AA8">
        <w:rPr>
          <w:rFonts w:ascii="Times New Roman" w:hAnsi="Times New Roman" w:cs="Times New Roman"/>
        </w:rPr>
        <w:t xml:space="preserve"> dalla Corte di Giustizia</w:t>
      </w:r>
      <w:r w:rsidR="001D3253">
        <w:rPr>
          <w:rFonts w:ascii="Times New Roman" w:hAnsi="Times New Roman" w:cs="Times New Roman"/>
        </w:rPr>
        <w:t>.</w:t>
      </w:r>
      <w:r w:rsidR="001A5AA8">
        <w:rPr>
          <w:rFonts w:ascii="Times New Roman" w:hAnsi="Times New Roman" w:cs="Times New Roman"/>
        </w:rPr>
        <w:t xml:space="preserve"> </w:t>
      </w:r>
    </w:p>
    <w:p w14:paraId="094F1CBA" w14:textId="333A641A" w:rsidR="002105E5" w:rsidRDefault="001A5AA8" w:rsidP="003A63CD">
      <w:pPr>
        <w:pStyle w:val="Default"/>
        <w:widowControl/>
        <w:spacing w:after="100" w:afterAutospacing="1" w:line="276" w:lineRule="auto"/>
        <w:ind w:firstLine="454"/>
        <w:jc w:val="both"/>
        <w:rPr>
          <w:rFonts w:ascii="Times New Roman" w:hAnsi="Times New Roman" w:cs="Times New Roman"/>
        </w:rPr>
      </w:pPr>
      <w:r>
        <w:rPr>
          <w:rFonts w:ascii="Times New Roman" w:hAnsi="Times New Roman" w:cs="Times New Roman"/>
        </w:rPr>
        <w:t xml:space="preserve">Parimenti gli Stati membri non saranno esonerati </w:t>
      </w:r>
      <w:r w:rsidR="00CF1350">
        <w:rPr>
          <w:rFonts w:ascii="Times New Roman" w:hAnsi="Times New Roman" w:cs="Times New Roman"/>
        </w:rPr>
        <w:t>dal r</w:t>
      </w:r>
      <w:r w:rsidR="00CF1350" w:rsidRPr="005E2072">
        <w:rPr>
          <w:rFonts w:ascii="Times New Roman" w:hAnsi="Times New Roman" w:cs="Times New Roman"/>
        </w:rPr>
        <w:t>ispetto dei diritti discendenti dalla Convenzione EDU</w:t>
      </w:r>
      <w:r w:rsidR="00E61FC5">
        <w:rPr>
          <w:rFonts w:ascii="Times New Roman" w:hAnsi="Times New Roman" w:cs="Times New Roman"/>
        </w:rPr>
        <w:t>,</w:t>
      </w:r>
      <w:r w:rsidR="00CF1350" w:rsidRPr="005E2072">
        <w:rPr>
          <w:rFonts w:ascii="Times New Roman" w:hAnsi="Times New Roman" w:cs="Times New Roman"/>
        </w:rPr>
        <w:t xml:space="preserve"> quando daranno attuazione al</w:t>
      </w:r>
      <w:r w:rsidRPr="005E2072">
        <w:rPr>
          <w:rFonts w:ascii="Times New Roman" w:hAnsi="Times New Roman" w:cs="Times New Roman"/>
        </w:rPr>
        <w:t xml:space="preserve"> d</w:t>
      </w:r>
      <w:r w:rsidR="00CF1350" w:rsidRPr="005E2072">
        <w:rPr>
          <w:rFonts w:ascii="Times New Roman" w:hAnsi="Times New Roman" w:cs="Times New Roman"/>
        </w:rPr>
        <w:t>iritto europeo.</w:t>
      </w:r>
      <w:r w:rsidR="005011AD">
        <w:rPr>
          <w:rFonts w:ascii="Times New Roman" w:hAnsi="Times New Roman" w:cs="Times New Roman"/>
        </w:rPr>
        <w:t xml:space="preserve"> </w:t>
      </w:r>
      <w:r w:rsidR="000D1972">
        <w:rPr>
          <w:rFonts w:ascii="Times New Roman" w:hAnsi="Times New Roman" w:cs="Times New Roman"/>
        </w:rPr>
        <w:t xml:space="preserve">Viganò ha teorizzato </w:t>
      </w:r>
      <w:r w:rsidR="005011AD">
        <w:rPr>
          <w:rFonts w:ascii="Times New Roman" w:hAnsi="Times New Roman" w:cs="Times New Roman"/>
        </w:rPr>
        <w:t xml:space="preserve">a tal proposito </w:t>
      </w:r>
      <w:r w:rsidR="000D1972">
        <w:rPr>
          <w:rFonts w:ascii="Times New Roman" w:hAnsi="Times New Roman" w:cs="Times New Roman"/>
        </w:rPr>
        <w:t xml:space="preserve">che l’art. 50 della Carta dei diritti fondamentali dell’Unione europea possa produrre direttamente effetto negli Stati membri e prevalere </w:t>
      </w:r>
      <w:r w:rsidR="00A475ED">
        <w:rPr>
          <w:rFonts w:ascii="Times New Roman" w:hAnsi="Times New Roman" w:cs="Times New Roman"/>
        </w:rPr>
        <w:t>su</w:t>
      </w:r>
      <w:r w:rsidR="000D1972">
        <w:rPr>
          <w:rFonts w:ascii="Times New Roman" w:hAnsi="Times New Roman" w:cs="Times New Roman"/>
        </w:rPr>
        <w:t xml:space="preserve"> norme di diritto interno contrastanti, cosicché il giudice penale potrebbe pronunciare sentenza di proscioglimento o non luogo a procedere senza richiedere l’intervento del Giudice delle Leggi</w:t>
      </w:r>
      <w:r w:rsidR="000D1972">
        <w:rPr>
          <w:rStyle w:val="Rimandonotaapidipagina"/>
          <w:rFonts w:ascii="Times New Roman" w:hAnsi="Times New Roman" w:cs="Times New Roman"/>
        </w:rPr>
        <w:footnoteReference w:id="86"/>
      </w:r>
      <w:r w:rsidR="000D1972">
        <w:rPr>
          <w:rFonts w:ascii="Times New Roman" w:hAnsi="Times New Roman" w:cs="Times New Roman"/>
        </w:rPr>
        <w:t>.</w:t>
      </w:r>
    </w:p>
    <w:p w14:paraId="2E79A9CF" w14:textId="4BFCDD81" w:rsidR="00A44BFE" w:rsidRDefault="00D65F56" w:rsidP="003A63CD">
      <w:pPr>
        <w:pStyle w:val="Default"/>
        <w:widowControl/>
        <w:spacing w:after="100" w:afterAutospacing="1" w:line="276" w:lineRule="auto"/>
        <w:ind w:firstLine="454"/>
        <w:jc w:val="both"/>
        <w:rPr>
          <w:rFonts w:ascii="Times New Roman" w:hAnsi="Times New Roman" w:cs="Times New Roman"/>
        </w:rPr>
      </w:pPr>
      <w:r>
        <w:rPr>
          <w:rFonts w:ascii="Times New Roman" w:hAnsi="Times New Roman" w:cs="Times New Roman"/>
        </w:rPr>
        <w:t>Infatti le disposizioni della Carta si applicano al diritto dell’Unione, in cui rientrano anche gli abusi di mercato, ed agli Stati membri quando ne danno attuazione, secondo il disposto dell’articolo 51, primo paragrafo, della Carta.</w:t>
      </w:r>
      <w:r w:rsidR="004C0764">
        <w:rPr>
          <w:rFonts w:ascii="Times New Roman" w:hAnsi="Times New Roman" w:cs="Times New Roman"/>
        </w:rPr>
        <w:t xml:space="preserve"> Rimangono invece estranee le materie non regolate dal diritto europeo.</w:t>
      </w:r>
      <w:r>
        <w:rPr>
          <w:rFonts w:ascii="Times New Roman" w:hAnsi="Times New Roman" w:cs="Times New Roman"/>
        </w:rPr>
        <w:t xml:space="preserve"> La Corte di Giustizia ha ribadito</w:t>
      </w:r>
      <w:r w:rsidR="002A1536" w:rsidRPr="002A1536">
        <w:rPr>
          <w:rFonts w:ascii="Times New Roman" w:hAnsi="Times New Roman" w:cs="Times New Roman"/>
        </w:rPr>
        <w:t xml:space="preserve"> </w:t>
      </w:r>
      <w:r w:rsidR="002A1536">
        <w:rPr>
          <w:rFonts w:ascii="Times New Roman" w:hAnsi="Times New Roman" w:cs="Times New Roman"/>
        </w:rPr>
        <w:t>il principio di diretta applicazione del diritto comunitario da parte dei giudici nazionali con eventuale disap</w:t>
      </w:r>
      <w:r w:rsidR="002A1536" w:rsidRPr="00C70EE8">
        <w:rPr>
          <w:rFonts w:ascii="Times New Roman" w:hAnsi="Times New Roman" w:cs="Times New Roman"/>
        </w:rPr>
        <w:t>plicazione del diritto interno con esso incompatibile</w:t>
      </w:r>
      <w:r w:rsidR="002A1536">
        <w:rPr>
          <w:rFonts w:ascii="Times New Roman" w:hAnsi="Times New Roman" w:cs="Times New Roman"/>
        </w:rPr>
        <w:t xml:space="preserve">. Si deve notare che tale principio, </w:t>
      </w:r>
      <w:r w:rsidR="002A1536" w:rsidRPr="00C70EE8">
        <w:rPr>
          <w:rFonts w:ascii="Times New Roman" w:hAnsi="Times New Roman" w:cs="Times New Roman"/>
        </w:rPr>
        <w:t>costante nella sua giurisprudenza a partire dall’enunciazione nel caso Simmental</w:t>
      </w:r>
      <w:r w:rsidR="002A1536" w:rsidRPr="00C70EE8">
        <w:rPr>
          <w:rStyle w:val="Rimandonotaapidipagina"/>
          <w:rFonts w:ascii="Times New Roman" w:hAnsi="Times New Roman" w:cs="Times New Roman"/>
        </w:rPr>
        <w:footnoteReference w:id="87"/>
      </w:r>
      <w:r w:rsidR="00363FD5">
        <w:rPr>
          <w:rFonts w:ascii="Times New Roman" w:hAnsi="Times New Roman" w:cs="Times New Roman"/>
        </w:rPr>
        <w:t>,</w:t>
      </w:r>
      <w:r w:rsidR="002A1536">
        <w:rPr>
          <w:rFonts w:ascii="Times New Roman" w:hAnsi="Times New Roman" w:cs="Times New Roman"/>
        </w:rPr>
        <w:t xml:space="preserve"> è stato ribadito</w:t>
      </w:r>
      <w:r>
        <w:rPr>
          <w:rFonts w:ascii="Times New Roman" w:hAnsi="Times New Roman" w:cs="Times New Roman"/>
        </w:rPr>
        <w:t xml:space="preserve"> </w:t>
      </w:r>
      <w:r w:rsidR="00363FD5">
        <w:rPr>
          <w:rFonts w:ascii="Times New Roman" w:hAnsi="Times New Roman" w:cs="Times New Roman"/>
        </w:rPr>
        <w:t>nel caso Fransson</w:t>
      </w:r>
      <w:r w:rsidR="002A1536">
        <w:rPr>
          <w:rFonts w:ascii="Times New Roman" w:hAnsi="Times New Roman" w:cs="Times New Roman"/>
        </w:rPr>
        <w:t xml:space="preserve"> </w:t>
      </w:r>
      <w:r w:rsidR="00363FD5">
        <w:rPr>
          <w:rFonts w:ascii="Times New Roman" w:hAnsi="Times New Roman" w:cs="Times New Roman"/>
        </w:rPr>
        <w:t>proprio</w:t>
      </w:r>
      <w:r w:rsidR="004C0764">
        <w:rPr>
          <w:rFonts w:ascii="Times New Roman" w:hAnsi="Times New Roman" w:cs="Times New Roman"/>
        </w:rPr>
        <w:t xml:space="preserve"> con riferimento al </w:t>
      </w:r>
      <w:r w:rsidR="004C0764" w:rsidRPr="004C0764">
        <w:rPr>
          <w:rFonts w:ascii="Times New Roman" w:hAnsi="Times New Roman" w:cs="Times New Roman"/>
          <w:i/>
        </w:rPr>
        <w:t>ne bis in idem</w:t>
      </w:r>
      <w:r w:rsidR="00DC4B58">
        <w:rPr>
          <w:rStyle w:val="Rimandonotaapidipagina"/>
          <w:rFonts w:ascii="Times New Roman" w:hAnsi="Times New Roman" w:cs="Times New Roman"/>
        </w:rPr>
        <w:footnoteReference w:id="88"/>
      </w:r>
      <w:r w:rsidR="004C0764" w:rsidRPr="00C70EE8">
        <w:rPr>
          <w:rFonts w:ascii="Times New Roman" w:hAnsi="Times New Roman" w:cs="Times New Roman"/>
        </w:rPr>
        <w:t>.</w:t>
      </w:r>
      <w:r w:rsidR="00B27887" w:rsidRPr="00B27887">
        <w:rPr>
          <w:rFonts w:ascii="Times New Roman" w:hAnsi="Times New Roman" w:cs="Times New Roman"/>
        </w:rPr>
        <w:t xml:space="preserve"> </w:t>
      </w:r>
    </w:p>
    <w:p w14:paraId="5D4AE5FA" w14:textId="4E64863C" w:rsidR="002C7C3E" w:rsidRDefault="00A44BFE" w:rsidP="003A63CD">
      <w:pPr>
        <w:pStyle w:val="Default"/>
        <w:widowControl/>
        <w:spacing w:after="100" w:afterAutospacing="1" w:line="276" w:lineRule="auto"/>
        <w:ind w:firstLine="454"/>
        <w:jc w:val="both"/>
        <w:rPr>
          <w:rFonts w:ascii="Times New Roman" w:hAnsi="Times New Roman" w:cs="Times New Roman"/>
        </w:rPr>
      </w:pPr>
      <w:r>
        <w:rPr>
          <w:rFonts w:ascii="Times New Roman" w:hAnsi="Times New Roman" w:cs="Times New Roman"/>
        </w:rPr>
        <w:t>Quando</w:t>
      </w:r>
      <w:r w:rsidR="00C810C3">
        <w:rPr>
          <w:rFonts w:ascii="Times New Roman" w:hAnsi="Times New Roman" w:cs="Times New Roman"/>
        </w:rPr>
        <w:t xml:space="preserve"> invece</w:t>
      </w:r>
      <w:r>
        <w:rPr>
          <w:rFonts w:ascii="Times New Roman" w:hAnsi="Times New Roman" w:cs="Times New Roman"/>
        </w:rPr>
        <w:t xml:space="preserve"> </w:t>
      </w:r>
      <w:r w:rsidR="00C810C3">
        <w:rPr>
          <w:rFonts w:ascii="Times New Roman" w:hAnsi="Times New Roman" w:cs="Times New Roman"/>
        </w:rPr>
        <w:t>entrambi</w:t>
      </w:r>
      <w:r>
        <w:rPr>
          <w:rFonts w:ascii="Times New Roman" w:hAnsi="Times New Roman" w:cs="Times New Roman"/>
        </w:rPr>
        <w:t xml:space="preserve"> i procedimenti</w:t>
      </w:r>
      <w:r w:rsidR="00C810C3">
        <w:rPr>
          <w:rFonts w:ascii="Times New Roman" w:hAnsi="Times New Roman" w:cs="Times New Roman"/>
        </w:rPr>
        <w:t xml:space="preserve"> siano pendenti</w:t>
      </w:r>
      <w:r>
        <w:rPr>
          <w:rFonts w:ascii="Times New Roman" w:hAnsi="Times New Roman" w:cs="Times New Roman"/>
        </w:rPr>
        <w:t>, non sarà applicabile l’art. 649 c.p.p.</w:t>
      </w:r>
      <w:r w:rsidR="00E61FC5">
        <w:rPr>
          <w:rFonts w:ascii="Times New Roman" w:hAnsi="Times New Roman" w:cs="Times New Roman"/>
        </w:rPr>
        <w:t>,</w:t>
      </w:r>
      <w:r>
        <w:rPr>
          <w:rFonts w:ascii="Times New Roman" w:hAnsi="Times New Roman" w:cs="Times New Roman"/>
        </w:rPr>
        <w:t xml:space="preserve"> perché esso presuppone</w:t>
      </w:r>
      <w:r w:rsidR="00C810C3">
        <w:rPr>
          <w:rFonts w:ascii="Times New Roman" w:hAnsi="Times New Roman" w:cs="Times New Roman"/>
        </w:rPr>
        <w:t xml:space="preserve"> la conclusione di uno di essi con</w:t>
      </w:r>
      <w:r>
        <w:rPr>
          <w:rFonts w:ascii="Times New Roman" w:hAnsi="Times New Roman" w:cs="Times New Roman"/>
        </w:rPr>
        <w:t xml:space="preserve"> passaggio in giudicato </w:t>
      </w:r>
      <w:r w:rsidR="00C810C3">
        <w:rPr>
          <w:rFonts w:ascii="Times New Roman" w:hAnsi="Times New Roman" w:cs="Times New Roman"/>
        </w:rPr>
        <w:t>del relativo provvedimento</w:t>
      </w:r>
      <w:r>
        <w:rPr>
          <w:rFonts w:ascii="Times New Roman" w:hAnsi="Times New Roman" w:cs="Times New Roman"/>
        </w:rPr>
        <w:t xml:space="preserve">. </w:t>
      </w:r>
      <w:r w:rsidR="002C7C3E">
        <w:rPr>
          <w:rFonts w:ascii="Times New Roman" w:hAnsi="Times New Roman" w:cs="Times New Roman"/>
        </w:rPr>
        <w:t xml:space="preserve">Invero, non sembra che tale ipotesi ricada </w:t>
      </w:r>
      <w:r w:rsidR="00D52347">
        <w:rPr>
          <w:rFonts w:ascii="Times New Roman" w:hAnsi="Times New Roman" w:cs="Times New Roman"/>
        </w:rPr>
        <w:t xml:space="preserve">neanche nell’ambito </w:t>
      </w:r>
      <w:r w:rsidR="002C7C3E">
        <w:rPr>
          <w:rFonts w:ascii="Times New Roman" w:hAnsi="Times New Roman" w:cs="Times New Roman"/>
        </w:rPr>
        <w:t>dell’art. 4 del settimo Protocollo della C</w:t>
      </w:r>
      <w:r w:rsidR="00A26457">
        <w:rPr>
          <w:rFonts w:ascii="Times New Roman" w:hAnsi="Times New Roman" w:cs="Times New Roman"/>
        </w:rPr>
        <w:t xml:space="preserve">onvenzione </w:t>
      </w:r>
      <w:r w:rsidR="002C7C3E">
        <w:rPr>
          <w:rFonts w:ascii="Times New Roman" w:hAnsi="Times New Roman" w:cs="Times New Roman"/>
        </w:rPr>
        <w:t>EDU</w:t>
      </w:r>
      <w:r w:rsidR="00D52347">
        <w:rPr>
          <w:rFonts w:ascii="Times New Roman" w:hAnsi="Times New Roman" w:cs="Times New Roman"/>
        </w:rPr>
        <w:t>,</w:t>
      </w:r>
      <w:r w:rsidR="002C7C3E">
        <w:rPr>
          <w:rFonts w:ascii="Times New Roman" w:hAnsi="Times New Roman" w:cs="Times New Roman"/>
        </w:rPr>
        <w:t xml:space="preserve"> poiché anche tale </w:t>
      </w:r>
      <w:r w:rsidR="00C810C3">
        <w:rPr>
          <w:rFonts w:ascii="Times New Roman" w:hAnsi="Times New Roman" w:cs="Times New Roman"/>
        </w:rPr>
        <w:t>norma</w:t>
      </w:r>
      <w:r w:rsidR="002C7C3E">
        <w:rPr>
          <w:rFonts w:ascii="Times New Roman" w:hAnsi="Times New Roman" w:cs="Times New Roman"/>
        </w:rPr>
        <w:t xml:space="preserve"> richiede una sentenza passata in giudicato.</w:t>
      </w:r>
    </w:p>
    <w:p w14:paraId="50F8F325" w14:textId="2F7462D7" w:rsidR="004578AA" w:rsidRDefault="00C810C3" w:rsidP="003A63CD">
      <w:pPr>
        <w:pStyle w:val="Default"/>
        <w:widowControl/>
        <w:spacing w:after="100" w:afterAutospacing="1" w:line="276" w:lineRule="auto"/>
        <w:ind w:firstLine="454"/>
        <w:jc w:val="both"/>
        <w:rPr>
          <w:rFonts w:ascii="Times New Roman" w:hAnsi="Times New Roman" w:cs="Times New Roman"/>
        </w:rPr>
      </w:pPr>
      <w:r>
        <w:rPr>
          <w:rFonts w:ascii="Times New Roman" w:hAnsi="Times New Roman" w:cs="Times New Roman"/>
        </w:rPr>
        <w:t xml:space="preserve">La soluzione non è semplificata dall’art. 187 </w:t>
      </w:r>
      <w:r w:rsidRPr="002A3A0E">
        <w:rPr>
          <w:rFonts w:ascii="Times New Roman" w:hAnsi="Times New Roman" w:cs="Times New Roman"/>
          <w:i/>
        </w:rPr>
        <w:t>terdecies</w:t>
      </w:r>
      <w:r w:rsidR="003D3F95">
        <w:rPr>
          <w:rFonts w:ascii="Times New Roman" w:hAnsi="Times New Roman" w:cs="Times New Roman"/>
        </w:rPr>
        <w:t xml:space="preserve"> del T.U.F., che</w:t>
      </w:r>
      <w:r>
        <w:rPr>
          <w:rFonts w:ascii="Times New Roman" w:hAnsi="Times New Roman" w:cs="Times New Roman"/>
        </w:rPr>
        <w:t xml:space="preserve"> regolava l’applicazione congiunta delle sanzioni penali ed amministrative e quindi presupponeva che entrambi arrivassero a termine.</w:t>
      </w:r>
      <w:r w:rsidR="004578AA">
        <w:rPr>
          <w:rFonts w:ascii="Times New Roman" w:hAnsi="Times New Roman" w:cs="Times New Roman"/>
        </w:rPr>
        <w:t xml:space="preserve"> Al contrario, la prospettiva che due procedimenti avanzino in parallelo con la consapevolezza che soltanto </w:t>
      </w:r>
      <w:r w:rsidR="00DC5E0A">
        <w:rPr>
          <w:rFonts w:ascii="Times New Roman" w:hAnsi="Times New Roman" w:cs="Times New Roman"/>
        </w:rPr>
        <w:t>quello che si concluderà prima produrrà un qualche effetto</w:t>
      </w:r>
      <w:r w:rsidR="004578AA">
        <w:rPr>
          <w:rFonts w:ascii="Times New Roman" w:hAnsi="Times New Roman" w:cs="Times New Roman"/>
        </w:rPr>
        <w:t xml:space="preserve"> </w:t>
      </w:r>
      <w:r w:rsidR="00D32896">
        <w:rPr>
          <w:rFonts w:ascii="Times New Roman" w:hAnsi="Times New Roman" w:cs="Times New Roman"/>
        </w:rPr>
        <w:t xml:space="preserve">genera </w:t>
      </w:r>
      <w:r w:rsidR="003D3F95">
        <w:rPr>
          <w:rFonts w:ascii="Times New Roman" w:hAnsi="Times New Roman" w:cs="Times New Roman"/>
        </w:rPr>
        <w:t>un dubbio</w:t>
      </w:r>
      <w:r w:rsidR="004578AA">
        <w:rPr>
          <w:rFonts w:ascii="Times New Roman" w:hAnsi="Times New Roman" w:cs="Times New Roman"/>
        </w:rPr>
        <w:t xml:space="preserve"> di costituzionalità</w:t>
      </w:r>
      <w:r w:rsidR="004578AA">
        <w:rPr>
          <w:rStyle w:val="Rimandonotaapidipagina"/>
          <w:rFonts w:ascii="Times New Roman" w:hAnsi="Times New Roman" w:cs="Times New Roman"/>
        </w:rPr>
        <w:footnoteReference w:id="89"/>
      </w:r>
      <w:r w:rsidR="004578AA">
        <w:rPr>
          <w:rFonts w:ascii="Times New Roman" w:hAnsi="Times New Roman" w:cs="Times New Roman"/>
        </w:rPr>
        <w:t>.</w:t>
      </w:r>
    </w:p>
    <w:p w14:paraId="3E3F9E56" w14:textId="6D35FAAE" w:rsidR="0052551B" w:rsidRDefault="00A44BFE" w:rsidP="003A63CD">
      <w:pPr>
        <w:pStyle w:val="Default"/>
        <w:widowControl/>
        <w:spacing w:after="100" w:afterAutospacing="1" w:line="276" w:lineRule="auto"/>
        <w:ind w:firstLine="454"/>
        <w:jc w:val="both"/>
        <w:rPr>
          <w:rFonts w:ascii="Times New Roman" w:hAnsi="Times New Roman" w:cs="Times New Roman"/>
        </w:rPr>
      </w:pPr>
      <w:r>
        <w:rPr>
          <w:rFonts w:ascii="Times New Roman" w:hAnsi="Times New Roman" w:cs="Times New Roman"/>
        </w:rPr>
        <w:t xml:space="preserve">Si potrebbe forse far prevalere il procedimento amministrativo di accertamento e di opposizione poiché, a norma dell’art. 187 </w:t>
      </w:r>
      <w:r w:rsidRPr="008B55E9">
        <w:rPr>
          <w:rFonts w:ascii="Times New Roman" w:hAnsi="Times New Roman" w:cs="Times New Roman"/>
          <w:i/>
        </w:rPr>
        <w:t>duodecies</w:t>
      </w:r>
      <w:r>
        <w:rPr>
          <w:rFonts w:ascii="Times New Roman" w:hAnsi="Times New Roman" w:cs="Times New Roman"/>
        </w:rPr>
        <w:t xml:space="preserve">, esso non può essere sospeso in pendenza di un procedimento penale, mentre una norma analoga non è prevista a garanzia del procedimento </w:t>
      </w:r>
      <w:r w:rsidR="002A3A0E">
        <w:rPr>
          <w:rFonts w:ascii="Times New Roman" w:hAnsi="Times New Roman" w:cs="Times New Roman"/>
        </w:rPr>
        <w:t>penale</w:t>
      </w:r>
      <w:r>
        <w:rPr>
          <w:rFonts w:ascii="Times New Roman" w:hAnsi="Times New Roman" w:cs="Times New Roman"/>
        </w:rPr>
        <w:t>.</w:t>
      </w:r>
      <w:r w:rsidR="00DC5E0A">
        <w:rPr>
          <w:rFonts w:ascii="Times New Roman" w:hAnsi="Times New Roman" w:cs="Times New Roman"/>
        </w:rPr>
        <w:t xml:space="preserve"> </w:t>
      </w:r>
      <w:r w:rsidR="00C65EFD">
        <w:rPr>
          <w:rFonts w:ascii="Times New Roman" w:hAnsi="Times New Roman" w:cs="Times New Roman"/>
        </w:rPr>
        <w:t>S</w:t>
      </w:r>
      <w:r w:rsidR="00DC5E0A">
        <w:rPr>
          <w:rFonts w:ascii="Times New Roman" w:hAnsi="Times New Roman" w:cs="Times New Roman"/>
        </w:rPr>
        <w:t>arebbe</w:t>
      </w:r>
      <w:r w:rsidR="003D3F95">
        <w:rPr>
          <w:rFonts w:ascii="Times New Roman" w:hAnsi="Times New Roman" w:cs="Times New Roman"/>
        </w:rPr>
        <w:t xml:space="preserve"> però</w:t>
      </w:r>
      <w:r w:rsidR="00DC5E0A">
        <w:rPr>
          <w:rFonts w:ascii="Times New Roman" w:hAnsi="Times New Roman" w:cs="Times New Roman"/>
        </w:rPr>
        <w:t xml:space="preserve"> inaccettabile punire solo in via amministrativa la manipolazione del mercato, quando fattispecie consimili</w:t>
      </w:r>
      <w:r w:rsidR="003D3F95">
        <w:rPr>
          <w:rFonts w:ascii="Times New Roman" w:hAnsi="Times New Roman" w:cs="Times New Roman"/>
        </w:rPr>
        <w:t>,</w:t>
      </w:r>
      <w:r w:rsidR="00C65EFD">
        <w:rPr>
          <w:rFonts w:ascii="Times New Roman" w:hAnsi="Times New Roman" w:cs="Times New Roman"/>
        </w:rPr>
        <w:t xml:space="preserve"> ma meno gravi,</w:t>
      </w:r>
      <w:r w:rsidR="00DC5E0A">
        <w:rPr>
          <w:rFonts w:ascii="Times New Roman" w:hAnsi="Times New Roman" w:cs="Times New Roman"/>
        </w:rPr>
        <w:t xml:space="preserve"> quali quelle di aggiotaggio comune, societario e bancario</w:t>
      </w:r>
      <w:r w:rsidR="00C65EFD">
        <w:rPr>
          <w:rFonts w:ascii="Times New Roman" w:hAnsi="Times New Roman" w:cs="Times New Roman"/>
        </w:rPr>
        <w:t>, sono da sempre puniti penalmente. Sarebbe ancora più irragionevole farlo dopo aver previsto pene tanto afflittive.</w:t>
      </w:r>
    </w:p>
    <w:p w14:paraId="77A1FCE2" w14:textId="6A7B4F7A" w:rsidR="00DC5E0A" w:rsidRDefault="00C65EFD" w:rsidP="003A63CD">
      <w:pPr>
        <w:pStyle w:val="Default"/>
        <w:widowControl/>
        <w:spacing w:after="100" w:afterAutospacing="1" w:line="276" w:lineRule="auto"/>
        <w:ind w:firstLine="454"/>
        <w:jc w:val="both"/>
        <w:rPr>
          <w:rFonts w:ascii="Times New Roman" w:hAnsi="Times New Roman" w:cs="Times New Roman"/>
        </w:rPr>
      </w:pPr>
      <w:r>
        <w:rPr>
          <w:rFonts w:ascii="Times New Roman" w:hAnsi="Times New Roman" w:cs="Times New Roman"/>
        </w:rPr>
        <w:t>La soluzione opposta</w:t>
      </w:r>
      <w:r w:rsidR="002850CF">
        <w:rPr>
          <w:rFonts w:ascii="Times New Roman" w:hAnsi="Times New Roman" w:cs="Times New Roman"/>
        </w:rPr>
        <w:t xml:space="preserve"> </w:t>
      </w:r>
      <w:r w:rsidR="00F61FAD">
        <w:rPr>
          <w:rFonts w:ascii="Times New Roman" w:hAnsi="Times New Roman" w:cs="Times New Roman"/>
        </w:rPr>
        <w:t xml:space="preserve">in cui prevarrebbe </w:t>
      </w:r>
      <w:r w:rsidR="002850CF">
        <w:rPr>
          <w:rFonts w:ascii="Times New Roman" w:hAnsi="Times New Roman" w:cs="Times New Roman"/>
        </w:rPr>
        <w:t xml:space="preserve">il delitto </w:t>
      </w:r>
      <w:r w:rsidR="00F61FAD">
        <w:rPr>
          <w:rFonts w:ascii="Times New Roman" w:hAnsi="Times New Roman" w:cs="Times New Roman"/>
        </w:rPr>
        <w:t>sarebbe in contrasto</w:t>
      </w:r>
      <w:r>
        <w:rPr>
          <w:rFonts w:ascii="Times New Roman" w:hAnsi="Times New Roman" w:cs="Times New Roman"/>
        </w:rPr>
        <w:t>, secondo la dottrina</w:t>
      </w:r>
      <w:r w:rsidR="009857AD">
        <w:rPr>
          <w:rStyle w:val="Rimandonotaapidipagina"/>
          <w:rFonts w:ascii="Times New Roman" w:hAnsi="Times New Roman" w:cs="Times New Roman"/>
        </w:rPr>
        <w:footnoteReference w:id="90"/>
      </w:r>
      <w:r>
        <w:rPr>
          <w:rFonts w:ascii="Times New Roman" w:hAnsi="Times New Roman" w:cs="Times New Roman"/>
        </w:rPr>
        <w:t>, con l’obbligo</w:t>
      </w:r>
      <w:r w:rsidR="002850CF">
        <w:rPr>
          <w:rFonts w:ascii="Times New Roman" w:hAnsi="Times New Roman" w:cs="Times New Roman"/>
        </w:rPr>
        <w:t xml:space="preserve"> discendente dall’art. 14 della</w:t>
      </w:r>
      <w:r>
        <w:rPr>
          <w:rFonts w:ascii="Times New Roman" w:hAnsi="Times New Roman" w:cs="Times New Roman"/>
        </w:rPr>
        <w:t xml:space="preserve"> </w:t>
      </w:r>
      <w:r w:rsidR="002850CF">
        <w:rPr>
          <w:rFonts w:ascii="Times New Roman" w:hAnsi="Times New Roman" w:cs="Times New Roman"/>
        </w:rPr>
        <w:t xml:space="preserve">MAD di </w:t>
      </w:r>
      <w:r>
        <w:rPr>
          <w:rFonts w:ascii="Times New Roman" w:hAnsi="Times New Roman" w:cs="Times New Roman"/>
        </w:rPr>
        <w:t>prevedere una qualche forma di illecito amm</w:t>
      </w:r>
      <w:r w:rsidR="002850CF">
        <w:rPr>
          <w:rFonts w:ascii="Times New Roman" w:hAnsi="Times New Roman" w:cs="Times New Roman"/>
        </w:rPr>
        <w:t>inistrativo</w:t>
      </w:r>
      <w:r w:rsidR="002850CF">
        <w:rPr>
          <w:rStyle w:val="Rimandonotaapidipagina"/>
          <w:rFonts w:ascii="Times New Roman" w:hAnsi="Times New Roman" w:cs="Times New Roman"/>
        </w:rPr>
        <w:footnoteReference w:id="91"/>
      </w:r>
      <w:r w:rsidR="005C72BC">
        <w:rPr>
          <w:rFonts w:ascii="Times New Roman" w:hAnsi="Times New Roman" w:cs="Times New Roman"/>
        </w:rPr>
        <w:t xml:space="preserve"> che non abbia un ruolo marginale e meramente complementare</w:t>
      </w:r>
      <w:r w:rsidR="005C72BC">
        <w:rPr>
          <w:rStyle w:val="Rimandonotaapidipagina"/>
          <w:rFonts w:ascii="Times New Roman" w:hAnsi="Times New Roman" w:cs="Times New Roman"/>
        </w:rPr>
        <w:footnoteReference w:id="92"/>
      </w:r>
      <w:r w:rsidR="005C72BC">
        <w:rPr>
          <w:rFonts w:ascii="Times New Roman" w:hAnsi="Times New Roman" w:cs="Times New Roman"/>
        </w:rPr>
        <w:t xml:space="preserve">. </w:t>
      </w:r>
      <w:r w:rsidR="009B4F6F">
        <w:rPr>
          <w:rFonts w:ascii="Times New Roman" w:hAnsi="Times New Roman" w:cs="Times New Roman"/>
        </w:rPr>
        <w:t>Se si esclude la possibilità che la CONSOB si astenga dall’esercizio della sua potestà sanzionatoria, caso che verrà esaminato a fine capitolo, sembra ineludibile la proposizione di una questione di legittimità costituzionale.</w:t>
      </w:r>
    </w:p>
    <w:p w14:paraId="3B499ACA" w14:textId="3A3FD05E" w:rsidR="00836086" w:rsidRDefault="002C7C3E" w:rsidP="003A63CD">
      <w:pPr>
        <w:pStyle w:val="Default"/>
        <w:widowControl/>
        <w:spacing w:after="100" w:afterAutospacing="1" w:line="276" w:lineRule="auto"/>
        <w:ind w:firstLine="454"/>
        <w:jc w:val="both"/>
        <w:rPr>
          <w:rFonts w:ascii="Times New Roman" w:hAnsi="Times New Roman" w:cs="Times New Roman"/>
        </w:rPr>
      </w:pPr>
      <w:r>
        <w:rPr>
          <w:rFonts w:ascii="Times New Roman" w:hAnsi="Times New Roman" w:cs="Times New Roman"/>
        </w:rPr>
        <w:t>Ancora più problematico il caso in cui</w:t>
      </w:r>
      <w:r w:rsidR="008E75AE">
        <w:rPr>
          <w:rFonts w:ascii="Times New Roman" w:hAnsi="Times New Roman" w:cs="Times New Roman"/>
        </w:rPr>
        <w:t xml:space="preserve"> entrambi i procedimenti giungano a conclusione e sia la sentenza penale sia il provvedimento amministrativo acquistino il valore di cosa giudicata (almeno d</w:t>
      </w:r>
      <w:r w:rsidR="0037742D">
        <w:rPr>
          <w:rFonts w:ascii="Times New Roman" w:hAnsi="Times New Roman" w:cs="Times New Roman"/>
        </w:rPr>
        <w:t>al punto di vista sostanziale).</w:t>
      </w:r>
    </w:p>
    <w:p w14:paraId="643EA0DD" w14:textId="48C12A4E" w:rsidR="00A26457" w:rsidRDefault="00836086" w:rsidP="003A63CD">
      <w:pPr>
        <w:pStyle w:val="Default"/>
        <w:widowControl/>
        <w:spacing w:after="100" w:afterAutospacing="1" w:line="276" w:lineRule="auto"/>
        <w:ind w:firstLine="454"/>
        <w:jc w:val="both"/>
        <w:rPr>
          <w:rFonts w:ascii="Times New Roman" w:hAnsi="Times New Roman" w:cs="Times New Roman"/>
        </w:rPr>
      </w:pPr>
      <w:r>
        <w:rPr>
          <w:rFonts w:ascii="Times New Roman" w:hAnsi="Times New Roman" w:cs="Times New Roman"/>
        </w:rPr>
        <w:t>Questo potrebbe essere risolto</w:t>
      </w:r>
      <w:r w:rsidR="00182C13" w:rsidRPr="00182C13">
        <w:rPr>
          <w:rFonts w:ascii="Times New Roman" w:hAnsi="Times New Roman" w:cs="Times New Roman"/>
        </w:rPr>
        <w:t xml:space="preserve"> </w:t>
      </w:r>
      <w:r w:rsidR="00182C13">
        <w:rPr>
          <w:rFonts w:ascii="Times New Roman" w:hAnsi="Times New Roman" w:cs="Times New Roman"/>
        </w:rPr>
        <w:t xml:space="preserve">con l’estensione al caso in esame dei criteri disposti dall’art. 669 c.p.p., che disciplina il caso di una pluralità di sentenze definitive </w:t>
      </w:r>
      <w:r w:rsidR="00765E94">
        <w:rPr>
          <w:rFonts w:ascii="Times New Roman" w:hAnsi="Times New Roman" w:cs="Times New Roman"/>
        </w:rPr>
        <w:t>che vertano su</w:t>
      </w:r>
      <w:r w:rsidR="00182C13">
        <w:rPr>
          <w:rFonts w:ascii="Times New Roman" w:hAnsi="Times New Roman" w:cs="Times New Roman"/>
        </w:rPr>
        <w:t>l medesimo fatto</w:t>
      </w:r>
      <w:r w:rsidR="00765E94">
        <w:rPr>
          <w:rFonts w:ascii="Times New Roman" w:hAnsi="Times New Roman" w:cs="Times New Roman"/>
        </w:rPr>
        <w:t xml:space="preserve"> e pronunciate</w:t>
      </w:r>
      <w:r w:rsidR="00182C13">
        <w:rPr>
          <w:rFonts w:ascii="Times New Roman" w:hAnsi="Times New Roman" w:cs="Times New Roman"/>
        </w:rPr>
        <w:t xml:space="preserve"> contro la medesima persona</w:t>
      </w:r>
      <w:r w:rsidR="00765E94">
        <w:rPr>
          <w:rFonts w:ascii="Times New Roman" w:hAnsi="Times New Roman" w:cs="Times New Roman"/>
        </w:rPr>
        <w:t xml:space="preserve">. </w:t>
      </w:r>
      <w:r w:rsidR="00556C73">
        <w:rPr>
          <w:rFonts w:ascii="Times New Roman" w:hAnsi="Times New Roman" w:cs="Times New Roman"/>
        </w:rPr>
        <w:t>L’</w:t>
      </w:r>
      <w:r w:rsidR="003D3F95">
        <w:rPr>
          <w:rFonts w:ascii="Times New Roman" w:hAnsi="Times New Roman" w:cs="Times New Roman"/>
        </w:rPr>
        <w:t xml:space="preserve">incidente di </w:t>
      </w:r>
      <w:r w:rsidR="00D32896">
        <w:rPr>
          <w:rFonts w:ascii="Times New Roman" w:hAnsi="Times New Roman" w:cs="Times New Roman"/>
        </w:rPr>
        <w:t>esecuzione</w:t>
      </w:r>
      <w:r w:rsidR="00556C73">
        <w:rPr>
          <w:rFonts w:ascii="Times New Roman" w:hAnsi="Times New Roman" w:cs="Times New Roman"/>
        </w:rPr>
        <w:t>,</w:t>
      </w:r>
      <w:r w:rsidR="0037742D">
        <w:rPr>
          <w:rFonts w:ascii="Times New Roman" w:hAnsi="Times New Roman" w:cs="Times New Roman"/>
        </w:rPr>
        <w:t xml:space="preserve"> </w:t>
      </w:r>
      <w:r w:rsidR="00765E94">
        <w:rPr>
          <w:rFonts w:ascii="Times New Roman" w:hAnsi="Times New Roman" w:cs="Times New Roman"/>
        </w:rPr>
        <w:t>che l’applicazione di tale articolo comporta</w:t>
      </w:r>
      <w:r w:rsidR="00556C73">
        <w:rPr>
          <w:rFonts w:ascii="Times New Roman" w:hAnsi="Times New Roman" w:cs="Times New Roman"/>
        </w:rPr>
        <w:t>,</w:t>
      </w:r>
      <w:r w:rsidR="00765E94">
        <w:rPr>
          <w:rFonts w:ascii="Times New Roman" w:hAnsi="Times New Roman" w:cs="Times New Roman"/>
        </w:rPr>
        <w:t xml:space="preserve"> </w:t>
      </w:r>
      <w:r w:rsidR="0037742D">
        <w:rPr>
          <w:rFonts w:ascii="Times New Roman" w:hAnsi="Times New Roman" w:cs="Times New Roman"/>
        </w:rPr>
        <w:t>potrebbe eventualmente</w:t>
      </w:r>
      <w:r w:rsidR="00182C13">
        <w:rPr>
          <w:rFonts w:ascii="Times New Roman" w:hAnsi="Times New Roman" w:cs="Times New Roman"/>
        </w:rPr>
        <w:t xml:space="preserve"> </w:t>
      </w:r>
      <w:r w:rsidR="00765E94">
        <w:rPr>
          <w:rFonts w:ascii="Times New Roman" w:hAnsi="Times New Roman" w:cs="Times New Roman"/>
        </w:rPr>
        <w:t xml:space="preserve">anche essere l’occasione per promuovere un </w:t>
      </w:r>
      <w:r w:rsidR="0037742D">
        <w:rPr>
          <w:rFonts w:ascii="Times New Roman" w:hAnsi="Times New Roman" w:cs="Times New Roman"/>
        </w:rPr>
        <w:t>incidente di costituzionalità</w:t>
      </w:r>
      <w:r w:rsidR="00556C73">
        <w:rPr>
          <w:rFonts w:ascii="Times New Roman" w:hAnsi="Times New Roman" w:cs="Times New Roman"/>
        </w:rPr>
        <w:t>, qualora si ritenesse non applicabile</w:t>
      </w:r>
      <w:r w:rsidR="00195E03">
        <w:rPr>
          <w:rFonts w:ascii="Times New Roman" w:hAnsi="Times New Roman" w:cs="Times New Roman"/>
        </w:rPr>
        <w:t>, ad esempio,</w:t>
      </w:r>
      <w:r w:rsidR="00556C73">
        <w:rPr>
          <w:rFonts w:ascii="Times New Roman" w:hAnsi="Times New Roman" w:cs="Times New Roman"/>
        </w:rPr>
        <w:t xml:space="preserve"> </w:t>
      </w:r>
      <w:r w:rsidR="00195E03">
        <w:rPr>
          <w:rFonts w:ascii="Times New Roman" w:hAnsi="Times New Roman" w:cs="Times New Roman"/>
        </w:rPr>
        <w:t xml:space="preserve">il citato </w:t>
      </w:r>
      <w:r w:rsidR="00556C73">
        <w:rPr>
          <w:rFonts w:ascii="Times New Roman" w:hAnsi="Times New Roman" w:cs="Times New Roman"/>
        </w:rPr>
        <w:t>articolo per</w:t>
      </w:r>
      <w:r w:rsidR="00195E03">
        <w:rPr>
          <w:rFonts w:ascii="Times New Roman" w:hAnsi="Times New Roman" w:cs="Times New Roman"/>
        </w:rPr>
        <w:t xml:space="preserve"> la natura amministrativa di uno dei due provvedimenti</w:t>
      </w:r>
      <w:r w:rsidR="002739CB">
        <w:rPr>
          <w:rFonts w:ascii="Times New Roman" w:hAnsi="Times New Roman" w:cs="Times New Roman"/>
        </w:rPr>
        <w:t xml:space="preserve">. La norma </w:t>
      </w:r>
      <w:r w:rsidR="00195E03">
        <w:rPr>
          <w:rFonts w:ascii="Times New Roman" w:hAnsi="Times New Roman" w:cs="Times New Roman"/>
        </w:rPr>
        <w:t>prospetta una soluzione alla questione della pluralità di provvedimenti</w:t>
      </w:r>
      <w:r w:rsidR="00B47DB8">
        <w:rPr>
          <w:rFonts w:ascii="Times New Roman" w:hAnsi="Times New Roman" w:cs="Times New Roman"/>
        </w:rPr>
        <w:t>,</w:t>
      </w:r>
      <w:r w:rsidR="002739CB">
        <w:rPr>
          <w:rFonts w:ascii="Times New Roman" w:hAnsi="Times New Roman" w:cs="Times New Roman"/>
        </w:rPr>
        <w:t xml:space="preserve"> privilegiando l’esecuzione </w:t>
      </w:r>
      <w:r w:rsidR="00195E03">
        <w:rPr>
          <w:rFonts w:ascii="Times New Roman" w:hAnsi="Times New Roman" w:cs="Times New Roman"/>
        </w:rPr>
        <w:t>di quello</w:t>
      </w:r>
      <w:r w:rsidR="002739CB">
        <w:rPr>
          <w:rFonts w:ascii="Times New Roman" w:hAnsi="Times New Roman" w:cs="Times New Roman"/>
        </w:rPr>
        <w:t xml:space="preserve"> </w:t>
      </w:r>
      <w:r>
        <w:rPr>
          <w:rFonts w:ascii="Times New Roman" w:hAnsi="Times New Roman" w:cs="Times New Roman"/>
        </w:rPr>
        <w:t>che comporta una condanna meno grave</w:t>
      </w:r>
      <w:r w:rsidR="002739CB">
        <w:rPr>
          <w:rFonts w:ascii="Times New Roman" w:hAnsi="Times New Roman" w:cs="Times New Roman"/>
        </w:rPr>
        <w:t>,</w:t>
      </w:r>
      <w:r w:rsidR="00195E03">
        <w:rPr>
          <w:rFonts w:ascii="Times New Roman" w:hAnsi="Times New Roman" w:cs="Times New Roman"/>
        </w:rPr>
        <w:t xml:space="preserve"> con revoca degli altri</w:t>
      </w:r>
      <w:r>
        <w:rPr>
          <w:rStyle w:val="Rimandonotaapidipagina"/>
          <w:rFonts w:ascii="Times New Roman" w:hAnsi="Times New Roman" w:cs="Times New Roman"/>
        </w:rPr>
        <w:footnoteReference w:id="93"/>
      </w:r>
      <w:r w:rsidR="00E3641B">
        <w:rPr>
          <w:rFonts w:ascii="Times New Roman" w:hAnsi="Times New Roman" w:cs="Times New Roman"/>
        </w:rPr>
        <w:t>.</w:t>
      </w:r>
      <w:r w:rsidR="00EF6450">
        <w:rPr>
          <w:rFonts w:ascii="Times New Roman" w:hAnsi="Times New Roman" w:cs="Times New Roman"/>
        </w:rPr>
        <w:t xml:space="preserve"> </w:t>
      </w:r>
    </w:p>
    <w:p w14:paraId="70E5A0E4" w14:textId="2BD4B894" w:rsidR="002739CB" w:rsidRDefault="00A26457" w:rsidP="003A63CD">
      <w:pPr>
        <w:pStyle w:val="Default"/>
        <w:widowControl/>
        <w:spacing w:after="100" w:afterAutospacing="1" w:line="276" w:lineRule="auto"/>
        <w:ind w:firstLine="454"/>
        <w:jc w:val="both"/>
        <w:rPr>
          <w:rFonts w:ascii="Times New Roman" w:hAnsi="Times New Roman" w:cs="Times New Roman"/>
        </w:rPr>
      </w:pPr>
      <w:r>
        <w:rPr>
          <w:rFonts w:ascii="Times New Roman" w:hAnsi="Times New Roman" w:cs="Times New Roman"/>
        </w:rPr>
        <w:t>A</w:t>
      </w:r>
      <w:r w:rsidR="00EF6450">
        <w:rPr>
          <w:rFonts w:ascii="Times New Roman" w:hAnsi="Times New Roman" w:cs="Times New Roman"/>
        </w:rPr>
        <w:t>l netto del rilievo che potrebbe risultare in concreto più afflittivo l’insieme delle sanzioni amministrative, sarebbe forse auspicabile far prevalere</w:t>
      </w:r>
      <w:r w:rsidR="00195E03">
        <w:rPr>
          <w:rFonts w:ascii="Times New Roman" w:hAnsi="Times New Roman" w:cs="Times New Roman"/>
        </w:rPr>
        <w:t xml:space="preserve"> sempre la pena prevista per il</w:t>
      </w:r>
      <w:r w:rsidR="00EF6450">
        <w:rPr>
          <w:rFonts w:ascii="Times New Roman" w:hAnsi="Times New Roman" w:cs="Times New Roman"/>
        </w:rPr>
        <w:t xml:space="preserve"> delitto in quanto il procedimento amministrativo, come si esporrà a breve, è esso stesso</w:t>
      </w:r>
      <w:r>
        <w:rPr>
          <w:rFonts w:ascii="Times New Roman" w:hAnsi="Times New Roman" w:cs="Times New Roman"/>
        </w:rPr>
        <w:t xml:space="preserve"> in</w:t>
      </w:r>
      <w:r w:rsidR="008139AE">
        <w:rPr>
          <w:rFonts w:ascii="Times New Roman" w:hAnsi="Times New Roman" w:cs="Times New Roman"/>
        </w:rPr>
        <w:t xml:space="preserve"> </w:t>
      </w:r>
      <w:r>
        <w:rPr>
          <w:rFonts w:ascii="Times New Roman" w:hAnsi="Times New Roman" w:cs="Times New Roman"/>
        </w:rPr>
        <w:t>radice</w:t>
      </w:r>
      <w:r w:rsidR="00EF6450">
        <w:rPr>
          <w:rFonts w:ascii="Times New Roman" w:hAnsi="Times New Roman" w:cs="Times New Roman"/>
        </w:rPr>
        <w:t xml:space="preserve"> illegittimo secondo i parametri </w:t>
      </w:r>
      <w:r>
        <w:rPr>
          <w:rFonts w:ascii="Times New Roman" w:hAnsi="Times New Roman" w:cs="Times New Roman"/>
        </w:rPr>
        <w:t>della Convenzione EDU</w:t>
      </w:r>
      <w:r w:rsidR="008139AE">
        <w:rPr>
          <w:rStyle w:val="Rimandonotaapidipagina"/>
          <w:rFonts w:ascii="Times New Roman" w:hAnsi="Times New Roman" w:cs="Times New Roman"/>
        </w:rPr>
        <w:footnoteReference w:id="94"/>
      </w:r>
      <w:r w:rsidR="008139AE">
        <w:rPr>
          <w:rFonts w:ascii="Times New Roman" w:hAnsi="Times New Roman" w:cs="Times New Roman"/>
        </w:rPr>
        <w:t xml:space="preserve">. Diretta conseguenza di tale illegittimità procedimentale sarà che la pena irrogata al suo esito </w:t>
      </w:r>
      <w:r w:rsidR="008139AE" w:rsidRPr="008139AE">
        <w:rPr>
          <w:rFonts w:ascii="Times New Roman" w:hAnsi="Times New Roman" w:cs="Times New Roman"/>
          <w:i/>
        </w:rPr>
        <w:t>«non può che essere considerata essa stessa illegittima»</w:t>
      </w:r>
      <w:r w:rsidR="008139AE">
        <w:rPr>
          <w:rStyle w:val="Rimandonotaapidipagina"/>
          <w:rFonts w:ascii="Times New Roman" w:hAnsi="Times New Roman" w:cs="Times New Roman"/>
        </w:rPr>
        <w:footnoteReference w:id="95"/>
      </w:r>
      <w:r w:rsidR="008139AE">
        <w:rPr>
          <w:rFonts w:ascii="Times New Roman" w:hAnsi="Times New Roman" w:cs="Times New Roman"/>
        </w:rPr>
        <w:t>.</w:t>
      </w:r>
      <w:r w:rsidR="00EF6450">
        <w:rPr>
          <w:rFonts w:ascii="Times New Roman" w:hAnsi="Times New Roman" w:cs="Times New Roman"/>
        </w:rPr>
        <w:t xml:space="preserve"> </w:t>
      </w:r>
    </w:p>
    <w:p w14:paraId="4D99EF20" w14:textId="1AB9BD4A" w:rsidR="00836086" w:rsidRDefault="008139AE" w:rsidP="003A63CD">
      <w:pPr>
        <w:pStyle w:val="Default"/>
        <w:widowControl/>
        <w:spacing w:after="100" w:afterAutospacing="1" w:line="276" w:lineRule="auto"/>
        <w:ind w:firstLine="454"/>
        <w:jc w:val="both"/>
        <w:rPr>
          <w:rFonts w:ascii="Times New Roman" w:hAnsi="Times New Roman" w:cs="Times New Roman"/>
        </w:rPr>
      </w:pPr>
      <w:r>
        <w:rPr>
          <w:rFonts w:ascii="Times New Roman" w:hAnsi="Times New Roman" w:cs="Times New Roman"/>
        </w:rPr>
        <w:t>Altra soluzione</w:t>
      </w:r>
      <w:r w:rsidR="00836086">
        <w:rPr>
          <w:rFonts w:ascii="Times New Roman" w:hAnsi="Times New Roman" w:cs="Times New Roman"/>
        </w:rPr>
        <w:t xml:space="preserve"> </w:t>
      </w:r>
      <w:r w:rsidR="00961471">
        <w:rPr>
          <w:rFonts w:ascii="Times New Roman" w:hAnsi="Times New Roman" w:cs="Times New Roman"/>
        </w:rPr>
        <w:t xml:space="preserve">potrebbe </w:t>
      </w:r>
      <w:r>
        <w:rPr>
          <w:rFonts w:ascii="Times New Roman" w:hAnsi="Times New Roman" w:cs="Times New Roman"/>
        </w:rPr>
        <w:t>essere quella di intraprendere</w:t>
      </w:r>
      <w:r w:rsidR="00961471">
        <w:rPr>
          <w:rFonts w:ascii="Times New Roman" w:hAnsi="Times New Roman" w:cs="Times New Roman"/>
        </w:rPr>
        <w:t xml:space="preserve"> l’incerta strada della revoca del giudicato </w:t>
      </w:r>
      <w:r w:rsidR="00961471" w:rsidRPr="00961471">
        <w:rPr>
          <w:rFonts w:ascii="Times New Roman" w:hAnsi="Times New Roman" w:cs="Times New Roman"/>
          <w:i/>
        </w:rPr>
        <w:t>ex</w:t>
      </w:r>
      <w:r w:rsidR="00961471">
        <w:rPr>
          <w:rFonts w:ascii="Times New Roman" w:hAnsi="Times New Roman" w:cs="Times New Roman"/>
        </w:rPr>
        <w:t xml:space="preserve"> </w:t>
      </w:r>
      <w:r w:rsidR="00836086">
        <w:rPr>
          <w:rFonts w:ascii="Times New Roman" w:hAnsi="Times New Roman" w:cs="Times New Roman"/>
        </w:rPr>
        <w:t>art. 673 c.p.p.</w:t>
      </w:r>
      <w:r w:rsidR="00961471">
        <w:rPr>
          <w:rFonts w:ascii="Times New Roman" w:hAnsi="Times New Roman" w:cs="Times New Roman"/>
        </w:rPr>
        <w:t xml:space="preserve">, </w:t>
      </w:r>
      <w:r>
        <w:rPr>
          <w:rFonts w:ascii="Times New Roman" w:hAnsi="Times New Roman" w:cs="Times New Roman"/>
        </w:rPr>
        <w:t>ma la</w:t>
      </w:r>
      <w:r w:rsidR="00961471">
        <w:rPr>
          <w:rFonts w:ascii="Times New Roman" w:hAnsi="Times New Roman" w:cs="Times New Roman"/>
        </w:rPr>
        <w:t xml:space="preserve"> formulazione</w:t>
      </w:r>
      <w:r>
        <w:rPr>
          <w:rFonts w:ascii="Times New Roman" w:hAnsi="Times New Roman" w:cs="Times New Roman"/>
        </w:rPr>
        <w:t xml:space="preserve"> di tale articolo</w:t>
      </w:r>
      <w:r w:rsidR="00961471">
        <w:rPr>
          <w:rFonts w:ascii="Times New Roman" w:hAnsi="Times New Roman" w:cs="Times New Roman"/>
        </w:rPr>
        <w:t xml:space="preserve"> sembra poco adatta a successive integrazioni</w:t>
      </w:r>
      <w:r w:rsidR="002739CB">
        <w:rPr>
          <w:rFonts w:ascii="Times New Roman" w:hAnsi="Times New Roman" w:cs="Times New Roman"/>
        </w:rPr>
        <w:t>,</w:t>
      </w:r>
      <w:r w:rsidR="00961471">
        <w:rPr>
          <w:rFonts w:ascii="Times New Roman" w:hAnsi="Times New Roman" w:cs="Times New Roman"/>
        </w:rPr>
        <w:t xml:space="preserve"> stante il carattere puntuale e quindi tendenzialment</w:t>
      </w:r>
      <w:r w:rsidR="002739CB">
        <w:rPr>
          <w:rFonts w:ascii="Times New Roman" w:hAnsi="Times New Roman" w:cs="Times New Roman"/>
        </w:rPr>
        <w:t>e chiuso della sua formulazione</w:t>
      </w:r>
      <w:r w:rsidR="00836086">
        <w:rPr>
          <w:rStyle w:val="Rimandonotaapidipagina"/>
          <w:rFonts w:ascii="Times New Roman" w:hAnsi="Times New Roman" w:cs="Times New Roman"/>
        </w:rPr>
        <w:footnoteReference w:id="96"/>
      </w:r>
      <w:r w:rsidR="00836086">
        <w:rPr>
          <w:rFonts w:ascii="Times New Roman" w:hAnsi="Times New Roman" w:cs="Times New Roman"/>
        </w:rPr>
        <w:t>.</w:t>
      </w:r>
    </w:p>
    <w:p w14:paraId="617B4B47" w14:textId="4F81DAF9" w:rsidR="004D01A9" w:rsidRPr="00B27887" w:rsidRDefault="002739CB" w:rsidP="003A63CD">
      <w:pPr>
        <w:pStyle w:val="Default"/>
        <w:widowControl/>
        <w:spacing w:after="100" w:afterAutospacing="1" w:line="276" w:lineRule="auto"/>
        <w:ind w:firstLine="454"/>
        <w:jc w:val="both"/>
        <w:rPr>
          <w:rFonts w:ascii="Times New Roman" w:hAnsi="Times New Roman" w:cs="Times New Roman"/>
        </w:rPr>
      </w:pPr>
      <w:r>
        <w:rPr>
          <w:rFonts w:ascii="Times New Roman" w:hAnsi="Times New Roman" w:cs="Times New Roman"/>
        </w:rPr>
        <w:t>Infine si propone una terza soluzione che comporterebbe un giudizio di revisione della sentenza penale di condanna</w:t>
      </w:r>
      <w:r w:rsidR="00B47DB8">
        <w:rPr>
          <w:rFonts w:ascii="Times New Roman" w:hAnsi="Times New Roman" w:cs="Times New Roman"/>
        </w:rPr>
        <w:t>,</w:t>
      </w:r>
      <w:r>
        <w:rPr>
          <w:rFonts w:ascii="Times New Roman" w:hAnsi="Times New Roman" w:cs="Times New Roman"/>
        </w:rPr>
        <w:t xml:space="preserve"> utilizzando l’espediente offerto</w:t>
      </w:r>
      <w:r w:rsidR="00F61FAD">
        <w:rPr>
          <w:rFonts w:ascii="Times New Roman" w:hAnsi="Times New Roman" w:cs="Times New Roman"/>
        </w:rPr>
        <w:t xml:space="preserve"> dalla </w:t>
      </w:r>
      <w:r w:rsidR="00CF391B">
        <w:rPr>
          <w:rFonts w:ascii="Times New Roman" w:hAnsi="Times New Roman" w:cs="Times New Roman"/>
        </w:rPr>
        <w:t xml:space="preserve">Corte costituzionale </w:t>
      </w:r>
      <w:r w:rsidR="00F61FAD">
        <w:rPr>
          <w:rFonts w:ascii="Times New Roman" w:hAnsi="Times New Roman" w:cs="Times New Roman"/>
        </w:rPr>
        <w:t>con la sentenza 113 del 20</w:t>
      </w:r>
      <w:r w:rsidR="00F61FAD" w:rsidRPr="00F61FAD">
        <w:rPr>
          <w:rFonts w:ascii="Times New Roman" w:hAnsi="Times New Roman" w:cs="Times New Roman"/>
        </w:rPr>
        <w:t>11</w:t>
      </w:r>
      <w:r w:rsidR="00F61FAD">
        <w:rPr>
          <w:rStyle w:val="Rimandonotaapidipagina"/>
          <w:rFonts w:ascii="Times New Roman" w:hAnsi="Times New Roman" w:cs="Times New Roman"/>
        </w:rPr>
        <w:footnoteReference w:id="97"/>
      </w:r>
      <w:r w:rsidR="00F61FAD" w:rsidRPr="00F61FAD">
        <w:rPr>
          <w:rFonts w:ascii="Times New Roman" w:hAnsi="Times New Roman" w:cs="Times New Roman"/>
        </w:rPr>
        <w:t xml:space="preserve">. In tale occasione la Consulta ha dichiarato l’incostituzionalità dell’art. 630 c.p.p. nella parte in cui esso non prevedeva, tra i casi di revisione, </w:t>
      </w:r>
      <w:r w:rsidR="00F61FAD" w:rsidRPr="00F61FAD">
        <w:rPr>
          <w:rFonts w:ascii="Times New Roman" w:hAnsi="Times New Roman" w:cs="Times New Roman"/>
          <w:i/>
        </w:rPr>
        <w:t>«la riapertura del proc</w:t>
      </w:r>
      <w:r w:rsidR="00F61FAD">
        <w:rPr>
          <w:rFonts w:ascii="Times New Roman" w:hAnsi="Times New Roman" w:cs="Times New Roman"/>
          <w:i/>
        </w:rPr>
        <w:t>esso, quando ciò sia necessario</w:t>
      </w:r>
      <w:r w:rsidR="00F61FAD" w:rsidRPr="00F61FAD">
        <w:rPr>
          <w:rFonts w:ascii="Times New Roman" w:hAnsi="Times New Roman" w:cs="Times New Roman"/>
          <w:i/>
        </w:rPr>
        <w:t xml:space="preserve"> </w:t>
      </w:r>
      <w:r w:rsidR="00F61FAD">
        <w:rPr>
          <w:rFonts w:ascii="Times New Roman" w:hAnsi="Times New Roman" w:cs="Times New Roman"/>
          <w:i/>
        </w:rPr>
        <w:t>[…]</w:t>
      </w:r>
      <w:r w:rsidR="00F61FAD" w:rsidRPr="00F61FAD">
        <w:rPr>
          <w:rFonts w:ascii="Times New Roman" w:hAnsi="Times New Roman" w:cs="Times New Roman"/>
          <w:i/>
        </w:rPr>
        <w:t xml:space="preserve"> per conformarsi ad una sentenza definitiva della Corte europea dei diritti dell’uomo»</w:t>
      </w:r>
      <w:r w:rsidR="00F61FAD">
        <w:rPr>
          <w:rFonts w:ascii="Times New Roman" w:hAnsi="Times New Roman" w:cs="Times New Roman"/>
        </w:rPr>
        <w:t>.</w:t>
      </w:r>
      <w:r w:rsidR="00F61FAD">
        <w:rPr>
          <w:rStyle w:val="Rimandonotaapidipagina"/>
          <w:rFonts w:ascii="Times New Roman" w:hAnsi="Times New Roman" w:cs="Times New Roman"/>
        </w:rPr>
        <w:footnoteReference w:id="98"/>
      </w:r>
    </w:p>
    <w:p w14:paraId="1EF6FCB0" w14:textId="7EB66A93" w:rsidR="003C13D4" w:rsidRPr="006A31C8" w:rsidRDefault="00F22761" w:rsidP="003A63CD">
      <w:pPr>
        <w:pStyle w:val="Titolo2"/>
        <w:spacing w:after="100" w:afterAutospacing="1"/>
      </w:pPr>
      <w:bookmarkStart w:id="8" w:name="_Toc277195433"/>
      <w:r>
        <w:t>Il rapporto tra illeciti alla luce del principio del ne bis in idem</w:t>
      </w:r>
      <w:bookmarkEnd w:id="8"/>
      <w:r w:rsidR="004D522D">
        <w:t xml:space="preserve"> </w:t>
      </w:r>
    </w:p>
    <w:p w14:paraId="3DACC489" w14:textId="2001B072" w:rsidR="001D476C" w:rsidRDefault="001D476C" w:rsidP="003A63CD">
      <w:pPr>
        <w:pStyle w:val="Default"/>
        <w:widowControl/>
        <w:spacing w:after="100" w:afterAutospacing="1" w:line="276" w:lineRule="auto"/>
        <w:ind w:firstLine="454"/>
        <w:jc w:val="both"/>
        <w:rPr>
          <w:rFonts w:ascii="Times New Roman" w:hAnsi="Times New Roman" w:cs="Times New Roman"/>
        </w:rPr>
      </w:pPr>
      <w:r>
        <w:rPr>
          <w:rFonts w:ascii="Times New Roman" w:hAnsi="Times New Roman" w:cs="Times New Roman"/>
        </w:rPr>
        <w:t>S</w:t>
      </w:r>
      <w:r w:rsidR="00D53792">
        <w:rPr>
          <w:rFonts w:ascii="Times New Roman" w:hAnsi="Times New Roman" w:cs="Times New Roman"/>
        </w:rPr>
        <w:t xml:space="preserve">eppur tra molteplici incertezze su quali siano gli effetti che il principio del </w:t>
      </w:r>
      <w:r w:rsidR="00D53792" w:rsidRPr="00C74D1C">
        <w:rPr>
          <w:rFonts w:ascii="Times New Roman" w:hAnsi="Times New Roman" w:cs="Times New Roman"/>
          <w:i/>
        </w:rPr>
        <w:t>ne bis in idem</w:t>
      </w:r>
      <w:r w:rsidR="00D53792">
        <w:rPr>
          <w:rFonts w:ascii="Times New Roman" w:hAnsi="Times New Roman" w:cs="Times New Roman"/>
        </w:rPr>
        <w:t xml:space="preserve"> potrà produrre in concreto, appare s</w:t>
      </w:r>
      <w:r>
        <w:rPr>
          <w:rFonts w:ascii="Times New Roman" w:hAnsi="Times New Roman" w:cs="Times New Roman"/>
        </w:rPr>
        <w:t>icura l</w:t>
      </w:r>
      <w:r w:rsidR="00D53792">
        <w:rPr>
          <w:rFonts w:ascii="Times New Roman" w:hAnsi="Times New Roman" w:cs="Times New Roman"/>
        </w:rPr>
        <w:t xml:space="preserve">a sua </w:t>
      </w:r>
      <w:r>
        <w:rPr>
          <w:rFonts w:ascii="Times New Roman" w:hAnsi="Times New Roman" w:cs="Times New Roman"/>
        </w:rPr>
        <w:t>applicazione</w:t>
      </w:r>
      <w:r w:rsidR="00D53792">
        <w:rPr>
          <w:rFonts w:ascii="Times New Roman" w:hAnsi="Times New Roman" w:cs="Times New Roman"/>
        </w:rPr>
        <w:t>. Ciò avverrà</w:t>
      </w:r>
      <w:r>
        <w:rPr>
          <w:rFonts w:ascii="Times New Roman" w:hAnsi="Times New Roman" w:cs="Times New Roman"/>
        </w:rPr>
        <w:t xml:space="preserve"> in via mediata</w:t>
      </w:r>
      <w:r w:rsidR="00D53792">
        <w:rPr>
          <w:rFonts w:ascii="Times New Roman" w:hAnsi="Times New Roman" w:cs="Times New Roman"/>
        </w:rPr>
        <w:t>,</w:t>
      </w:r>
      <w:r>
        <w:rPr>
          <w:rFonts w:ascii="Times New Roman" w:hAnsi="Times New Roman" w:cs="Times New Roman"/>
        </w:rPr>
        <w:t xml:space="preserve"> attraverso un giudizio di costituzionalità</w:t>
      </w:r>
      <w:r w:rsidR="00D53792">
        <w:rPr>
          <w:rFonts w:ascii="Times New Roman" w:hAnsi="Times New Roman" w:cs="Times New Roman"/>
        </w:rPr>
        <w:t>,</w:t>
      </w:r>
      <w:r>
        <w:rPr>
          <w:rFonts w:ascii="Times New Roman" w:hAnsi="Times New Roman" w:cs="Times New Roman"/>
        </w:rPr>
        <w:t xml:space="preserve"> ovvero direttamente per tramite dell’art. 50 della Carta dei diritti fondamentali dell’Unione europea</w:t>
      </w:r>
      <w:r w:rsidR="00D53792">
        <w:rPr>
          <w:rFonts w:ascii="Times New Roman" w:hAnsi="Times New Roman" w:cs="Times New Roman"/>
        </w:rPr>
        <w:t>.</w:t>
      </w:r>
    </w:p>
    <w:p w14:paraId="58354AAB" w14:textId="77777777" w:rsidR="00201FDC" w:rsidRDefault="001D476C" w:rsidP="003A63CD">
      <w:pPr>
        <w:pStyle w:val="Default"/>
        <w:widowControl/>
        <w:spacing w:after="100" w:afterAutospacing="1" w:line="276" w:lineRule="auto"/>
        <w:ind w:firstLine="454"/>
        <w:jc w:val="both"/>
        <w:rPr>
          <w:rFonts w:ascii="Times New Roman" w:hAnsi="Times New Roman" w:cs="Times New Roman"/>
        </w:rPr>
      </w:pPr>
      <w:r w:rsidRPr="005E2072">
        <w:rPr>
          <w:rFonts w:ascii="Times New Roman" w:hAnsi="Times New Roman" w:cs="Times New Roman"/>
        </w:rPr>
        <w:t xml:space="preserve">L’effetto </w:t>
      </w:r>
      <w:r w:rsidR="00D53792">
        <w:rPr>
          <w:rFonts w:ascii="Times New Roman" w:hAnsi="Times New Roman" w:cs="Times New Roman"/>
        </w:rPr>
        <w:t>che però appare</w:t>
      </w:r>
      <w:r w:rsidRPr="005E2072">
        <w:rPr>
          <w:rFonts w:ascii="Times New Roman" w:hAnsi="Times New Roman" w:cs="Times New Roman"/>
        </w:rPr>
        <w:t xml:space="preserve"> più dirompente consiste nell’opportunità di interpretare la clausola “salve le sanzioni penali quando il fatto costituisce reato” in senso conforme al principio di specialità. </w:t>
      </w:r>
    </w:p>
    <w:p w14:paraId="27FC9636" w14:textId="1D861AA7" w:rsidR="001D476C" w:rsidRDefault="001D476C" w:rsidP="003A63CD">
      <w:pPr>
        <w:pStyle w:val="Default"/>
        <w:widowControl/>
        <w:spacing w:after="100" w:afterAutospacing="1" w:line="276" w:lineRule="auto"/>
        <w:ind w:firstLine="454"/>
        <w:jc w:val="both"/>
        <w:rPr>
          <w:rFonts w:ascii="Times New Roman" w:hAnsi="Times New Roman" w:cs="Times New Roman"/>
        </w:rPr>
      </w:pPr>
      <w:r w:rsidRPr="005E2072">
        <w:rPr>
          <w:rFonts w:ascii="Times New Roman" w:hAnsi="Times New Roman" w:cs="Times New Roman"/>
        </w:rPr>
        <w:t>Una simile soluzione era già stata prospettata da Masucci in tempi non sospetti. Argomenta l’Autore</w:t>
      </w:r>
      <w:r w:rsidR="0072562A">
        <w:rPr>
          <w:rStyle w:val="Rimandonotaapidipagina"/>
          <w:rFonts w:ascii="Times New Roman" w:hAnsi="Times New Roman" w:cs="Times New Roman"/>
        </w:rPr>
        <w:footnoteReference w:id="99"/>
      </w:r>
      <w:r w:rsidRPr="005E2072">
        <w:rPr>
          <w:rFonts w:ascii="Times New Roman" w:hAnsi="Times New Roman" w:cs="Times New Roman"/>
        </w:rPr>
        <w:t>, seppure con riferimento al</w:t>
      </w:r>
      <w:r w:rsidR="00195E03">
        <w:rPr>
          <w:rFonts w:ascii="Times New Roman" w:hAnsi="Times New Roman" w:cs="Times New Roman"/>
        </w:rPr>
        <w:t>l’analogo rapporto tra illeciti</w:t>
      </w:r>
      <w:r w:rsidR="00DB4F91">
        <w:rPr>
          <w:rFonts w:ascii="Times New Roman" w:hAnsi="Times New Roman" w:cs="Times New Roman"/>
        </w:rPr>
        <w:t xml:space="preserve"> penale ed amministrativo </w:t>
      </w:r>
      <w:r w:rsidRPr="005E2072">
        <w:rPr>
          <w:rFonts w:ascii="Times New Roman" w:hAnsi="Times New Roman" w:cs="Times New Roman"/>
        </w:rPr>
        <w:t xml:space="preserve">di abuso di informazioni privilegiate di cui agli artt. 184 e 187 </w:t>
      </w:r>
      <w:r w:rsidRPr="005E2072">
        <w:rPr>
          <w:rFonts w:ascii="Times New Roman" w:hAnsi="Times New Roman" w:cs="Times New Roman"/>
          <w:i/>
        </w:rPr>
        <w:t>bis</w:t>
      </w:r>
      <w:r w:rsidRPr="005E2072">
        <w:rPr>
          <w:rFonts w:ascii="Times New Roman" w:hAnsi="Times New Roman" w:cs="Times New Roman"/>
        </w:rPr>
        <w:t xml:space="preserve"> del T.U.F., che</w:t>
      </w:r>
      <w:r w:rsidR="00DB4F91">
        <w:rPr>
          <w:rFonts w:ascii="Times New Roman" w:hAnsi="Times New Roman" w:cs="Times New Roman"/>
        </w:rPr>
        <w:t xml:space="preserve"> se la clausola avesse voluto prevedere un cum</w:t>
      </w:r>
      <w:r w:rsidR="006103C0">
        <w:rPr>
          <w:rFonts w:ascii="Times New Roman" w:hAnsi="Times New Roman" w:cs="Times New Roman"/>
        </w:rPr>
        <w:t>ulo sanzionatorio, sarebbe stato</w:t>
      </w:r>
      <w:r w:rsidR="00DB4F91">
        <w:rPr>
          <w:rFonts w:ascii="Times New Roman" w:hAnsi="Times New Roman" w:cs="Times New Roman"/>
        </w:rPr>
        <w:t xml:space="preserve"> sufficiente il riferimento alle sanzioni penali. Invece, la specificazione che il fatto debba costituire reato fornisce un argomento a contrario,</w:t>
      </w:r>
      <w:r w:rsidR="0072562A">
        <w:rPr>
          <w:rFonts w:ascii="Times New Roman" w:hAnsi="Times New Roman" w:cs="Times New Roman"/>
        </w:rPr>
        <w:t xml:space="preserve"> per cui </w:t>
      </w:r>
      <w:r w:rsidR="0072562A" w:rsidRPr="00201FDC">
        <w:rPr>
          <w:rFonts w:ascii="Times New Roman" w:hAnsi="Times New Roman" w:cs="Times New Roman"/>
          <w:i/>
        </w:rPr>
        <w:t>«i fatti regolati dall’art. 187 bis, se pur identici a quelli puniti dall’art. 184, non ricadono necessariamente sotto quest’ultimo»</w:t>
      </w:r>
      <w:r w:rsidR="0072562A">
        <w:rPr>
          <w:rStyle w:val="Rimandonotaapidipagina"/>
          <w:rFonts w:ascii="Times New Roman" w:hAnsi="Times New Roman" w:cs="Times New Roman"/>
        </w:rPr>
        <w:footnoteReference w:id="100"/>
      </w:r>
      <w:r w:rsidR="0072562A">
        <w:rPr>
          <w:rFonts w:ascii="Times New Roman" w:hAnsi="Times New Roman" w:cs="Times New Roman"/>
        </w:rPr>
        <w:t>.</w:t>
      </w:r>
    </w:p>
    <w:p w14:paraId="12DF5E63" w14:textId="045A99F0" w:rsidR="00D53792" w:rsidRPr="008553B2" w:rsidRDefault="006D5C20" w:rsidP="003A63CD">
      <w:pPr>
        <w:pStyle w:val="Default"/>
        <w:widowControl/>
        <w:spacing w:after="100" w:afterAutospacing="1" w:line="276" w:lineRule="auto"/>
        <w:ind w:firstLine="454"/>
        <w:jc w:val="both"/>
        <w:rPr>
          <w:rFonts w:ascii="Times New Roman" w:hAnsi="Times New Roman" w:cs="Times New Roman"/>
        </w:rPr>
      </w:pPr>
      <w:r w:rsidRPr="008553B2">
        <w:rPr>
          <w:rFonts w:ascii="Times New Roman" w:hAnsi="Times New Roman" w:cs="Times New Roman"/>
        </w:rPr>
        <w:t xml:space="preserve">Anche se la Corte EDU non ha preso posizione sul principio di specialità, come hanno fatto invece i giudici </w:t>
      </w:r>
      <w:r w:rsidR="00356539" w:rsidRPr="008553B2">
        <w:rPr>
          <w:rFonts w:ascii="Times New Roman" w:hAnsi="Times New Roman" w:cs="Trebuchet MS"/>
          <w:bCs/>
          <w:color w:val="262626"/>
        </w:rPr>
        <w:t xml:space="preserve">Karakaş </w:t>
      </w:r>
      <w:r w:rsidR="00533690">
        <w:rPr>
          <w:rFonts w:ascii="Times New Roman" w:hAnsi="Times New Roman" w:cs="Trebuchet MS"/>
          <w:bCs/>
          <w:color w:val="262626"/>
        </w:rPr>
        <w:t>e</w:t>
      </w:r>
      <w:r w:rsidR="00356539" w:rsidRPr="008553B2">
        <w:rPr>
          <w:rFonts w:ascii="Times New Roman" w:hAnsi="Times New Roman" w:cs="Trebuchet MS"/>
          <w:bCs/>
          <w:color w:val="262626"/>
        </w:rPr>
        <w:t xml:space="preserve"> Pinto De Albuquerque</w:t>
      </w:r>
      <w:r w:rsidR="00356539" w:rsidRPr="008553B2">
        <w:rPr>
          <w:rFonts w:ascii="Times New Roman" w:hAnsi="Times New Roman" w:cs="Times New Roman"/>
        </w:rPr>
        <w:t xml:space="preserve"> </w:t>
      </w:r>
      <w:r w:rsidRPr="008553B2">
        <w:rPr>
          <w:rFonts w:ascii="Times New Roman" w:hAnsi="Times New Roman" w:cs="Times New Roman"/>
        </w:rPr>
        <w:t xml:space="preserve">nella loro opinione dissenziente, </w:t>
      </w:r>
      <w:r w:rsidR="00163070" w:rsidRPr="008553B2">
        <w:rPr>
          <w:rFonts w:ascii="Times New Roman" w:hAnsi="Times New Roman" w:cs="Times New Roman"/>
        </w:rPr>
        <w:t xml:space="preserve">la scelta per l’interprete italiano </w:t>
      </w:r>
      <w:r w:rsidR="008E7D6E" w:rsidRPr="008553B2">
        <w:rPr>
          <w:rFonts w:ascii="Times New Roman" w:hAnsi="Times New Roman" w:cs="Times New Roman"/>
        </w:rPr>
        <w:t>è</w:t>
      </w:r>
      <w:r w:rsidR="00163070" w:rsidRPr="008553B2">
        <w:rPr>
          <w:rFonts w:ascii="Times New Roman" w:hAnsi="Times New Roman" w:cs="Times New Roman"/>
        </w:rPr>
        <w:t xml:space="preserve"> obbligata. </w:t>
      </w:r>
      <w:r w:rsidR="008E7D6E" w:rsidRPr="008553B2">
        <w:rPr>
          <w:rFonts w:ascii="Times New Roman" w:hAnsi="Times New Roman" w:cs="Times New Roman"/>
        </w:rPr>
        <w:t>Infatti, a</w:t>
      </w:r>
      <w:r w:rsidR="00D53792" w:rsidRPr="008553B2">
        <w:rPr>
          <w:rFonts w:ascii="Times New Roman" w:hAnsi="Times New Roman" w:cs="Times New Roman"/>
        </w:rPr>
        <w:t xml:space="preserve"> seguito della sentenza della Corte EDU, </w:t>
      </w:r>
      <w:r w:rsidR="00DF1DD2" w:rsidRPr="008553B2">
        <w:rPr>
          <w:rFonts w:ascii="Times New Roman" w:hAnsi="Times New Roman" w:cs="Times New Roman"/>
        </w:rPr>
        <w:t xml:space="preserve">appare l’unica rispettosa del principio del </w:t>
      </w:r>
      <w:r w:rsidR="00DF1DD2" w:rsidRPr="008553B2">
        <w:rPr>
          <w:rFonts w:ascii="Times New Roman" w:hAnsi="Times New Roman" w:cs="Times New Roman"/>
          <w:i/>
        </w:rPr>
        <w:t>ne bis in idem</w:t>
      </w:r>
      <w:r w:rsidR="00DF1DD2" w:rsidRPr="008553B2">
        <w:rPr>
          <w:rFonts w:ascii="Times New Roman" w:hAnsi="Times New Roman" w:cs="Times New Roman"/>
        </w:rPr>
        <w:t xml:space="preserve"> </w:t>
      </w:r>
      <w:r w:rsidR="00201FDC" w:rsidRPr="008553B2">
        <w:rPr>
          <w:rFonts w:ascii="Times New Roman" w:hAnsi="Times New Roman" w:cs="Times New Roman"/>
        </w:rPr>
        <w:t>l’</w:t>
      </w:r>
      <w:r w:rsidR="00D53792" w:rsidRPr="008553B2">
        <w:rPr>
          <w:rFonts w:ascii="Times New Roman" w:hAnsi="Times New Roman" w:cs="Times New Roman"/>
        </w:rPr>
        <w:t>impostazione</w:t>
      </w:r>
      <w:r w:rsidR="00DF1DD2">
        <w:rPr>
          <w:rFonts w:ascii="Times New Roman" w:hAnsi="Times New Roman" w:cs="Times New Roman"/>
        </w:rPr>
        <w:t xml:space="preserve"> che legge </w:t>
      </w:r>
      <w:r w:rsidR="00201FDC" w:rsidRPr="008553B2">
        <w:rPr>
          <w:rFonts w:ascii="Times New Roman" w:hAnsi="Times New Roman" w:cs="Times New Roman"/>
        </w:rPr>
        <w:t xml:space="preserve">gli </w:t>
      </w:r>
      <w:r w:rsidR="00201FDC" w:rsidRPr="008553B2">
        <w:rPr>
          <w:rFonts w:ascii="Times New Roman" w:hAnsi="Times New Roman" w:cs="Times New Roman"/>
          <w:i/>
        </w:rPr>
        <w:t>incipit</w:t>
      </w:r>
      <w:r w:rsidR="00201FDC" w:rsidRPr="008553B2">
        <w:rPr>
          <w:rFonts w:ascii="Times New Roman" w:hAnsi="Times New Roman" w:cs="Times New Roman"/>
        </w:rPr>
        <w:t xml:space="preserve"> dell’art. 187 </w:t>
      </w:r>
      <w:r w:rsidR="00201FDC" w:rsidRPr="008553B2">
        <w:rPr>
          <w:rFonts w:ascii="Times New Roman" w:hAnsi="Times New Roman" w:cs="Times New Roman"/>
          <w:i/>
        </w:rPr>
        <w:t>ter</w:t>
      </w:r>
      <w:r w:rsidR="00201FDC" w:rsidRPr="008553B2">
        <w:rPr>
          <w:rFonts w:ascii="Times New Roman" w:hAnsi="Times New Roman" w:cs="Times New Roman"/>
        </w:rPr>
        <w:t xml:space="preserve"> </w:t>
      </w:r>
      <w:r w:rsidR="00DF1DD2">
        <w:rPr>
          <w:rFonts w:ascii="Times New Roman" w:hAnsi="Times New Roman" w:cs="Times New Roman"/>
        </w:rPr>
        <w:t xml:space="preserve">del T.U.F. come </w:t>
      </w:r>
      <w:r w:rsidR="00201FDC" w:rsidRPr="008553B2">
        <w:rPr>
          <w:rFonts w:ascii="Times New Roman" w:hAnsi="Times New Roman" w:cs="Times New Roman"/>
        </w:rPr>
        <w:t xml:space="preserve">una clausola di riserva e </w:t>
      </w:r>
      <w:r w:rsidR="00DF1DD2">
        <w:rPr>
          <w:rFonts w:ascii="Times New Roman" w:hAnsi="Times New Roman" w:cs="Times New Roman"/>
        </w:rPr>
        <w:t>non ammette alcuna deroga</w:t>
      </w:r>
      <w:r w:rsidR="00201FDC" w:rsidRPr="008553B2">
        <w:rPr>
          <w:rFonts w:ascii="Times New Roman" w:hAnsi="Times New Roman" w:cs="Times New Roman"/>
        </w:rPr>
        <w:t xml:space="preserve"> al principio di specialità. Anche la Corte di Cassazione, nella </w:t>
      </w:r>
      <w:r w:rsidR="00530C37" w:rsidRPr="008553B2">
        <w:rPr>
          <w:rFonts w:ascii="Times New Roman" w:hAnsi="Times New Roman" w:cs="Times New Roman"/>
        </w:rPr>
        <w:t>relazione del Massimario occasionata dal caso Grande Stevens, ha</w:t>
      </w:r>
      <w:r w:rsidR="00201FDC" w:rsidRPr="008553B2">
        <w:rPr>
          <w:rFonts w:ascii="Times New Roman" w:hAnsi="Times New Roman" w:cs="Times New Roman"/>
        </w:rPr>
        <w:t xml:space="preserve"> </w:t>
      </w:r>
      <w:r w:rsidR="00530C37" w:rsidRPr="008553B2">
        <w:rPr>
          <w:rFonts w:ascii="Times New Roman" w:hAnsi="Times New Roman" w:cs="Times New Roman"/>
        </w:rPr>
        <w:t>presentato tale interpretazione</w:t>
      </w:r>
      <w:r w:rsidR="00D53792" w:rsidRPr="008553B2">
        <w:rPr>
          <w:rFonts w:ascii="Times New Roman" w:hAnsi="Times New Roman" w:cs="Times New Roman"/>
        </w:rPr>
        <w:t xml:space="preserve"> come </w:t>
      </w:r>
      <w:r w:rsidR="00582919" w:rsidRPr="008553B2">
        <w:rPr>
          <w:rFonts w:ascii="Times New Roman" w:hAnsi="Times New Roman" w:cs="Times New Roman"/>
        </w:rPr>
        <w:t xml:space="preserve">il modo per risolvere </w:t>
      </w:r>
      <w:r w:rsidR="00582919" w:rsidRPr="008553B2">
        <w:rPr>
          <w:rFonts w:ascii="Times New Roman" w:hAnsi="Times New Roman" w:cs="Times New Roman"/>
          <w:i/>
        </w:rPr>
        <w:t>«in senso coerente con i dicta della Corte EDU la questione controversa»</w:t>
      </w:r>
      <w:r w:rsidR="00582919" w:rsidRPr="008553B2">
        <w:rPr>
          <w:rStyle w:val="Rimandonotaapidipagina"/>
          <w:rFonts w:ascii="Times New Roman" w:hAnsi="Times New Roman" w:cs="Times New Roman"/>
        </w:rPr>
        <w:footnoteReference w:id="101"/>
      </w:r>
      <w:r w:rsidR="00201FDC" w:rsidRPr="008553B2">
        <w:rPr>
          <w:rFonts w:ascii="Times New Roman" w:hAnsi="Times New Roman" w:cs="Times New Roman"/>
        </w:rPr>
        <w:t>,</w:t>
      </w:r>
      <w:r w:rsidR="00582919" w:rsidRPr="008553B2">
        <w:rPr>
          <w:rFonts w:ascii="Times New Roman" w:hAnsi="Times New Roman" w:cs="Times New Roman"/>
        </w:rPr>
        <w:t xml:space="preserve"> nelle more di un eventuale intervento del </w:t>
      </w:r>
      <w:r w:rsidR="00B31C3E">
        <w:rPr>
          <w:rFonts w:ascii="Times New Roman" w:hAnsi="Times New Roman" w:cs="Times New Roman"/>
        </w:rPr>
        <w:t>legislatore</w:t>
      </w:r>
      <w:r w:rsidR="00582919" w:rsidRPr="008553B2">
        <w:rPr>
          <w:rFonts w:ascii="Times New Roman" w:hAnsi="Times New Roman" w:cs="Times New Roman"/>
        </w:rPr>
        <w:t>.</w:t>
      </w:r>
    </w:p>
    <w:p w14:paraId="5F5B6FFA" w14:textId="1B717874" w:rsidR="00564F5F" w:rsidRDefault="00564F5F" w:rsidP="003A63CD">
      <w:pPr>
        <w:spacing w:after="100" w:afterAutospacing="1" w:line="276" w:lineRule="auto"/>
        <w:rPr>
          <w:rFonts w:cs="Times New Roman"/>
        </w:rPr>
      </w:pPr>
      <w:r>
        <w:rPr>
          <w:rFonts w:cs="Times New Roman"/>
        </w:rPr>
        <w:t>Peraltro, s</w:t>
      </w:r>
      <w:r w:rsidR="001D476C" w:rsidRPr="005E2072">
        <w:rPr>
          <w:rFonts w:cs="Times New Roman"/>
        </w:rPr>
        <w:t>e gli illeciti</w:t>
      </w:r>
      <w:r w:rsidR="00DB4F91">
        <w:rPr>
          <w:rFonts w:cs="Times New Roman"/>
        </w:rPr>
        <w:t xml:space="preserve"> penale ed amministrativo</w:t>
      </w:r>
      <w:r w:rsidR="001D476C" w:rsidRPr="005E2072">
        <w:rPr>
          <w:rFonts w:cs="Times New Roman"/>
        </w:rPr>
        <w:t xml:space="preserve"> di abuso di informazioni privilegiate presentano condotte identiche e dunque distinguibili solo attraverso l’elemento psicologico, </w:t>
      </w:r>
      <w:r w:rsidR="00DB4F91">
        <w:rPr>
          <w:rFonts w:cs="Times New Roman"/>
        </w:rPr>
        <w:t>si è visto</w:t>
      </w:r>
      <w:r w:rsidR="00DB4F91">
        <w:rPr>
          <w:rStyle w:val="Rimandonotaapidipagina"/>
          <w:rFonts w:cs="Times New Roman"/>
        </w:rPr>
        <w:footnoteReference w:id="102"/>
      </w:r>
      <w:r w:rsidR="00DB4F91">
        <w:rPr>
          <w:rFonts w:cs="Times New Roman"/>
        </w:rPr>
        <w:t xml:space="preserve"> come </w:t>
      </w:r>
      <w:r w:rsidR="001D476C" w:rsidRPr="005E2072">
        <w:rPr>
          <w:rFonts w:cs="Times New Roman"/>
        </w:rPr>
        <w:t>la Suprema Corte</w:t>
      </w:r>
      <w:r w:rsidR="00CC3FAA">
        <w:rPr>
          <w:rFonts w:cs="Times New Roman"/>
        </w:rPr>
        <w:t>,</w:t>
      </w:r>
      <w:r>
        <w:rPr>
          <w:rFonts w:cs="Times New Roman"/>
        </w:rPr>
        <w:t xml:space="preserve"> nella sentenza </w:t>
      </w:r>
      <w:r w:rsidRPr="006469E2">
        <w:t>n. 15199</w:t>
      </w:r>
      <w:r>
        <w:t xml:space="preserve"> del</w:t>
      </w:r>
      <w:r w:rsidRPr="006469E2">
        <w:t xml:space="preserve"> 16 marzo 2006</w:t>
      </w:r>
      <w:r w:rsidR="00CC3FAA">
        <w:t>,</w:t>
      </w:r>
      <w:r w:rsidRPr="006469E2">
        <w:t xml:space="preserve"> </w:t>
      </w:r>
      <w:r w:rsidR="001D476C" w:rsidRPr="005E2072">
        <w:rPr>
          <w:rFonts w:cs="Times New Roman"/>
        </w:rPr>
        <w:t>ha chiaramente differenzia</w:t>
      </w:r>
      <w:r w:rsidR="001D476C">
        <w:rPr>
          <w:rFonts w:cs="Times New Roman"/>
        </w:rPr>
        <w:t xml:space="preserve">to gli </w:t>
      </w:r>
      <w:r w:rsidR="00DB4F91">
        <w:rPr>
          <w:rFonts w:cs="Times New Roman"/>
        </w:rPr>
        <w:t xml:space="preserve">artt. 185 e 187 </w:t>
      </w:r>
      <w:r w:rsidR="00DB4F91" w:rsidRPr="00DB4F91">
        <w:rPr>
          <w:rFonts w:cs="Times New Roman"/>
          <w:i/>
        </w:rPr>
        <w:t>ter</w:t>
      </w:r>
      <w:r w:rsidR="001D476C">
        <w:rPr>
          <w:rFonts w:cs="Times New Roman"/>
        </w:rPr>
        <w:t xml:space="preserve"> </w:t>
      </w:r>
      <w:r w:rsidR="00CC3FAA">
        <w:rPr>
          <w:rFonts w:cs="Times New Roman"/>
        </w:rPr>
        <w:t xml:space="preserve">del T.U.F. </w:t>
      </w:r>
      <w:r w:rsidR="001D476C">
        <w:rPr>
          <w:rFonts w:cs="Times New Roman"/>
        </w:rPr>
        <w:t>anche dal punto di</w:t>
      </w:r>
      <w:r w:rsidR="00DB4F91">
        <w:rPr>
          <w:rFonts w:cs="Times New Roman"/>
        </w:rPr>
        <w:t xml:space="preserve"> vista dell’elemento oggettivo.</w:t>
      </w:r>
    </w:p>
    <w:p w14:paraId="58C6B786" w14:textId="45B43A03" w:rsidR="002270D8" w:rsidRDefault="001D476C" w:rsidP="003A63CD">
      <w:pPr>
        <w:spacing w:after="100" w:afterAutospacing="1" w:line="276" w:lineRule="auto"/>
        <w:rPr>
          <w:rFonts w:cs="Times New Roman"/>
        </w:rPr>
      </w:pPr>
      <w:r>
        <w:rPr>
          <w:rFonts w:cs="Times New Roman"/>
        </w:rPr>
        <w:t>La Corte EDU così impone l’applicazione del principio di specialità, anche alla disciplina vige</w:t>
      </w:r>
      <w:r w:rsidR="00530C37">
        <w:rPr>
          <w:rFonts w:cs="Times New Roman"/>
        </w:rPr>
        <w:t>nte</w:t>
      </w:r>
      <w:r w:rsidR="00671CC4">
        <w:rPr>
          <w:rFonts w:cs="Times New Roman"/>
        </w:rPr>
        <w:t>, almeno finché essa, per le finalità preventive e retributive che si propone</w:t>
      </w:r>
      <w:r w:rsidR="00CC3FAA">
        <w:rPr>
          <w:rFonts w:cs="Times New Roman"/>
        </w:rPr>
        <w:t>,</w:t>
      </w:r>
      <w:r w:rsidR="00671CC4">
        <w:rPr>
          <w:rFonts w:cs="Times New Roman"/>
        </w:rPr>
        <w:t xml:space="preserve"> ma soprattutto per l’entità delle sue sanzioni, possa qualificarsi come sostanzialmente penale</w:t>
      </w:r>
      <w:r w:rsidR="00530C37">
        <w:rPr>
          <w:rFonts w:cs="Times New Roman"/>
        </w:rPr>
        <w:t>.</w:t>
      </w:r>
      <w:r w:rsidR="00671CC4">
        <w:rPr>
          <w:rFonts w:cs="Times New Roman"/>
        </w:rPr>
        <w:t xml:space="preserve"> Si deve pertanto fare una breve digressione su tale principio per coglierne appieno le implicazioni con la materia penale.</w:t>
      </w:r>
    </w:p>
    <w:p w14:paraId="0C33F670" w14:textId="2E224FA5" w:rsidR="003D19A5" w:rsidRDefault="002270D8" w:rsidP="003A63CD">
      <w:pPr>
        <w:spacing w:after="100" w:afterAutospacing="1" w:line="276" w:lineRule="auto"/>
      </w:pPr>
      <w:r>
        <w:t>Il principio di specialità</w:t>
      </w:r>
      <w:r w:rsidR="00D678BA">
        <w:t xml:space="preserve"> è un criterio interpretativo volto a risolvere i contrasti tra norme (c.d. antinomie)</w:t>
      </w:r>
      <w:r w:rsidR="00CC3FAA">
        <w:t>,</w:t>
      </w:r>
      <w:r w:rsidR="00D678BA">
        <w:t xml:space="preserve"> facendo prevalere la norma dal contenuto più puntuale su quella di portata generale.</w:t>
      </w:r>
      <w:r w:rsidR="008F0B7F">
        <w:t xml:space="preserve"> Tale criterio, enunciato dall’articolo 15 c.p.</w:t>
      </w:r>
      <w:r w:rsidR="005A3412">
        <w:t xml:space="preserve"> per le relazioni tra norme penali e dall’art. 9 della l. 689 del 1981 con riferimento al rapporto tra illeciti penali ed amministrativi</w:t>
      </w:r>
      <w:r w:rsidR="008F0B7F">
        <w:t xml:space="preserve">, </w:t>
      </w:r>
      <w:r w:rsidR="005A3412">
        <w:t>ha</w:t>
      </w:r>
      <w:r w:rsidR="008F0B7F">
        <w:t xml:space="preserve"> un valore </w:t>
      </w:r>
      <w:r w:rsidR="005A3412">
        <w:t>fondamentale</w:t>
      </w:r>
      <w:r w:rsidR="008F0B7F">
        <w:t xml:space="preserve"> nel diritto penale</w:t>
      </w:r>
      <w:r w:rsidR="00AB2562">
        <w:t xml:space="preserve"> in quanto</w:t>
      </w:r>
      <w:r w:rsidR="005A3412">
        <w:t>, a differenza dei principi di sussidiarietà e consunzione teorizzati dalla dottrina,</w:t>
      </w:r>
      <w:r w:rsidR="00FF1134">
        <w:t xml:space="preserve"> è l’unico che ha</w:t>
      </w:r>
      <w:r w:rsidR="005A3412">
        <w:t xml:space="preserve"> ricevuto</w:t>
      </w:r>
      <w:r w:rsidR="00FF1134">
        <w:t xml:space="preserve"> un sicuro </w:t>
      </w:r>
      <w:r w:rsidR="005A3412">
        <w:t>riconoscimento</w:t>
      </w:r>
      <w:r w:rsidR="00FF1134">
        <w:t xml:space="preserve"> normativo</w:t>
      </w:r>
      <w:r w:rsidR="005A3412">
        <w:t xml:space="preserve"> e giurisprudenziale</w:t>
      </w:r>
      <w:r w:rsidR="00FF1134">
        <w:rPr>
          <w:rStyle w:val="Rimandonotaapidipagina"/>
        </w:rPr>
        <w:footnoteReference w:id="103"/>
      </w:r>
      <w:r w:rsidR="00FF1134">
        <w:t>.</w:t>
      </w:r>
      <w:r w:rsidR="003D19A5">
        <w:t xml:space="preserve"> </w:t>
      </w:r>
    </w:p>
    <w:p w14:paraId="330734F3" w14:textId="400CF916" w:rsidR="008F0B7F" w:rsidRDefault="003D19A5" w:rsidP="003A63CD">
      <w:pPr>
        <w:spacing w:after="100" w:afterAutospacing="1" w:line="276" w:lineRule="auto"/>
      </w:pPr>
      <w:r>
        <w:t xml:space="preserve">L’interpretazione della manipolazione del mercato conformemente a tale principio appare necessaria per risolvere quello che la sentenza della Corte EDU obbliga a qualificare come un concorso apparente tra gli artt. 185 e 187 </w:t>
      </w:r>
      <w:r w:rsidRPr="004A581E">
        <w:rPr>
          <w:i/>
        </w:rPr>
        <w:t>ter</w:t>
      </w:r>
      <w:r>
        <w:t xml:space="preserve"> del T.U.F, posto che soltanto una delle due fattispecie sarà applicabile.</w:t>
      </w:r>
    </w:p>
    <w:p w14:paraId="1988A8FE" w14:textId="02B8DE43" w:rsidR="005A3412" w:rsidRDefault="004A581E" w:rsidP="003A63CD">
      <w:pPr>
        <w:spacing w:after="100" w:afterAutospacing="1" w:line="276" w:lineRule="auto"/>
      </w:pPr>
      <w:r>
        <w:t>Da una prima lettura degli</w:t>
      </w:r>
      <w:r w:rsidR="003D19A5">
        <w:t xml:space="preserve"> illeciti</w:t>
      </w:r>
      <w:r>
        <w:t xml:space="preserve"> potrebbe risultare prevalente </w:t>
      </w:r>
      <w:r w:rsidR="003D19A5">
        <w:t>quello</w:t>
      </w:r>
      <w:r>
        <w:t xml:space="preserve"> amministrativo, che </w:t>
      </w:r>
      <w:r w:rsidR="00A04CC0">
        <w:t xml:space="preserve">presenta una </w:t>
      </w:r>
      <w:r>
        <w:t>maggior precisione</w:t>
      </w:r>
      <w:r w:rsidR="00A04CC0">
        <w:t xml:space="preserve"> descrittiva del</w:t>
      </w:r>
      <w:r>
        <w:t xml:space="preserve">le condotte manipolative. Ma il principio di specialità deve essere coordinato con </w:t>
      </w:r>
      <w:r w:rsidR="00784ADE">
        <w:t xml:space="preserve">l’esigenza che </w:t>
      </w:r>
      <w:r w:rsidR="00A04CC0">
        <w:t xml:space="preserve">il diritto penale presenti un carattere frammentario e selezioni in maniera “puntiforme” le sole condotte </w:t>
      </w:r>
      <w:r w:rsidR="005C7B2B">
        <w:t>aventi</w:t>
      </w:r>
      <w:r w:rsidR="00A04CC0">
        <w:t xml:space="preserve"> </w:t>
      </w:r>
      <w:r w:rsidR="00E7799C">
        <w:t>un grado di disvalore sufficiente a giustificare la sanzione estrema dell’ordinamento, che è quella penale.</w:t>
      </w:r>
    </w:p>
    <w:p w14:paraId="60CE7C24" w14:textId="22D03C85" w:rsidR="00CE320E" w:rsidRDefault="002B0A57" w:rsidP="003A63CD">
      <w:pPr>
        <w:spacing w:after="100" w:afterAutospacing="1" w:line="276" w:lineRule="auto"/>
        <w:rPr>
          <w:rFonts w:cs="Times New Roman"/>
        </w:rPr>
      </w:pPr>
      <w:r>
        <w:t xml:space="preserve">Il principio di frammentarietà o di </w:t>
      </w:r>
      <w:r w:rsidRPr="004A6A5B">
        <w:rPr>
          <w:i/>
        </w:rPr>
        <w:t>extrema ratio</w:t>
      </w:r>
      <w:r>
        <w:t xml:space="preserve"> non solo è alla base di tutti i sistemi penali liberali</w:t>
      </w:r>
      <w:r w:rsidR="00210ACD">
        <w:rPr>
          <w:rStyle w:val="Rimandonotaapidipagina"/>
        </w:rPr>
        <w:footnoteReference w:id="104"/>
      </w:r>
      <w:r>
        <w:t xml:space="preserve">, ma è stato anche riconosciuto dalla Corte costituzionale </w:t>
      </w:r>
      <w:r w:rsidRPr="004A6A5B">
        <w:t xml:space="preserve">quale criterio guida per il </w:t>
      </w:r>
      <w:r w:rsidR="00B31C3E">
        <w:t>legislatore</w:t>
      </w:r>
      <w:r w:rsidRPr="004A6A5B">
        <w:t xml:space="preserve">, che deve ricorrere </w:t>
      </w:r>
      <w:r w:rsidR="00CE320E">
        <w:t>a tale strumento</w:t>
      </w:r>
      <w:r w:rsidRPr="004A6A5B">
        <w:t xml:space="preserve"> solo quando </w:t>
      </w:r>
      <w:r w:rsidRPr="004A6A5B">
        <w:rPr>
          <w:rFonts w:cs="Times New Roman"/>
          <w:i/>
        </w:rPr>
        <w:t>«nel suo discrezionale apprezzamento, lo ritenga necessario per l'assenza o la insufficienza o la inadeguatezza di altri mezzi di tutela»</w:t>
      </w:r>
      <w:r w:rsidR="004A6A5B">
        <w:rPr>
          <w:rStyle w:val="Rimandonotaapidipagina"/>
          <w:rFonts w:cs="Times New Roman"/>
        </w:rPr>
        <w:footnoteReference w:id="105"/>
      </w:r>
      <w:r w:rsidR="00CE320E">
        <w:rPr>
          <w:rFonts w:cs="Times New Roman"/>
        </w:rPr>
        <w:t xml:space="preserve">. </w:t>
      </w:r>
    </w:p>
    <w:p w14:paraId="402BA722" w14:textId="37187D95" w:rsidR="0009043B" w:rsidRPr="0009043B" w:rsidRDefault="00CE320E" w:rsidP="003A63CD">
      <w:pPr>
        <w:spacing w:after="100" w:afterAutospacing="1" w:line="276" w:lineRule="auto"/>
        <w:rPr>
          <w:rFonts w:cs="Times New Roman"/>
        </w:rPr>
      </w:pPr>
      <w:r>
        <w:rPr>
          <w:rFonts w:cs="Times New Roman"/>
        </w:rPr>
        <w:t xml:space="preserve">Dunque, sebbene rientri nella piena discrezionalità del </w:t>
      </w:r>
      <w:r w:rsidR="00B31C3E">
        <w:rPr>
          <w:rFonts w:cs="Times New Roman"/>
        </w:rPr>
        <w:t>legislatore</w:t>
      </w:r>
      <w:r>
        <w:rPr>
          <w:rFonts w:cs="Times New Roman"/>
        </w:rPr>
        <w:t xml:space="preserve"> formulare le fattispecie sanzionatorie, egli sarà parzialmente vincolato dalla Costituzione</w:t>
      </w:r>
      <w:r w:rsidR="003033AC">
        <w:rPr>
          <w:rFonts w:cs="Times New Roman"/>
        </w:rPr>
        <w:t xml:space="preserve"> nella scelta dell’incriminazione. </w:t>
      </w:r>
      <w:r>
        <w:rPr>
          <w:rFonts w:cs="Times New Roman"/>
        </w:rPr>
        <w:t>A dispetto di una certa dottrina</w:t>
      </w:r>
      <w:r w:rsidR="0009043B">
        <w:rPr>
          <w:rStyle w:val="Rimandonotaapidipagina"/>
          <w:rFonts w:cs="Times New Roman"/>
        </w:rPr>
        <w:footnoteReference w:id="106"/>
      </w:r>
      <w:r w:rsidR="0010319E">
        <w:rPr>
          <w:rFonts w:cs="Times New Roman"/>
        </w:rPr>
        <w:t>,</w:t>
      </w:r>
      <w:r>
        <w:rPr>
          <w:rFonts w:cs="Times New Roman"/>
        </w:rPr>
        <w:t xml:space="preserve"> che alla necessità di un diritto penale frammentario non ravvisa indicazioni per riempire </w:t>
      </w:r>
      <w:r w:rsidR="0010319E">
        <w:rPr>
          <w:rFonts w:cs="Times New Roman"/>
        </w:rPr>
        <w:t>di contenuto la necessaria selettività dell’incriminazione, sembra che possa ravvisarsi nella combinazione dei principi di offensività</w:t>
      </w:r>
      <w:r w:rsidR="0010319E">
        <w:rPr>
          <w:rStyle w:val="Rimandonotaapidipagina"/>
          <w:rFonts w:cs="Times New Roman"/>
        </w:rPr>
        <w:footnoteReference w:id="107"/>
      </w:r>
      <w:r w:rsidR="0009043B">
        <w:rPr>
          <w:rFonts w:cs="Times New Roman"/>
        </w:rPr>
        <w:t xml:space="preserve"> e di ragionevolezza delle prescrizioni importanti, efficaci come minimo in sede interpretativa</w:t>
      </w:r>
      <w:r w:rsidR="0009043B">
        <w:rPr>
          <w:rStyle w:val="Rimandonotaapidipagina"/>
          <w:rFonts w:cs="Times New Roman"/>
        </w:rPr>
        <w:footnoteReference w:id="108"/>
      </w:r>
      <w:r w:rsidR="0009043B">
        <w:rPr>
          <w:rFonts w:cs="Times New Roman"/>
        </w:rPr>
        <w:t>.</w:t>
      </w:r>
    </w:p>
    <w:p w14:paraId="36BCCADD" w14:textId="77777777" w:rsidR="00053573" w:rsidRDefault="00E7799C" w:rsidP="003A63CD">
      <w:pPr>
        <w:spacing w:after="100" w:afterAutospacing="1" w:line="276" w:lineRule="auto"/>
      </w:pPr>
      <w:r w:rsidRPr="004A6A5B">
        <w:t xml:space="preserve">Tale principio </w:t>
      </w:r>
      <w:r w:rsidR="003F20FE">
        <w:t xml:space="preserve">di frammentarietà </w:t>
      </w:r>
      <w:r w:rsidRPr="004A6A5B">
        <w:t xml:space="preserve">è rispettato anche </w:t>
      </w:r>
      <w:r w:rsidR="003F20FE">
        <w:t>nella formulazione degli</w:t>
      </w:r>
      <w:r w:rsidRPr="004A6A5B">
        <w:t xml:space="preserve"> illeciti di manipolazione del mercat</w:t>
      </w:r>
      <w:r>
        <w:t>o, che prevedono una</w:t>
      </w:r>
      <w:r w:rsidR="003F20FE">
        <w:t xml:space="preserve"> combinazione tra il crescere del disvalore della condotta e dell’intenzione necessaria a porla in essere e la corrispondente</w:t>
      </w:r>
      <w:r>
        <w:t xml:space="preserve"> progressione di tutela </w:t>
      </w:r>
      <w:r w:rsidR="003F20FE">
        <w:t>a</w:t>
      </w:r>
      <w:r>
        <w:t>l passaggio dall’illecito amministrativo al delitto</w:t>
      </w:r>
      <w:r w:rsidR="003F20FE">
        <w:t xml:space="preserve">. </w:t>
      </w:r>
    </w:p>
    <w:p w14:paraId="0878E035" w14:textId="03BF429A" w:rsidR="00BF34D3" w:rsidRDefault="003F20FE" w:rsidP="003A63CD">
      <w:pPr>
        <w:spacing w:after="100" w:afterAutospacing="1" w:line="276" w:lineRule="auto"/>
      </w:pPr>
      <w:r>
        <w:t xml:space="preserve">Il risultato è quello di sanzionare </w:t>
      </w:r>
      <w:r w:rsidR="009033F9">
        <w:t xml:space="preserve">con il reato </w:t>
      </w:r>
      <w:r w:rsidR="00BF34D3">
        <w:t>soltanto i fatti più gravi di manipolazione: essi corrispondono alle condotte che hanno raggiunto il pericolo concreto</w:t>
      </w:r>
      <w:r>
        <w:t xml:space="preserve"> </w:t>
      </w:r>
      <w:r w:rsidR="00BF34D3">
        <w:t>di altera</w:t>
      </w:r>
      <w:r w:rsidR="002E4F05">
        <w:t>re i</w:t>
      </w:r>
      <w:r w:rsidR="00BF34D3">
        <w:t>l prezzo degli strumenti finanziari, sempre che tale alterazione risulti “sensibile”. Inoltre l’elemento soggettivo dovrà essere necessariamente il dolo.</w:t>
      </w:r>
      <w:r w:rsidR="009A1D6E">
        <w:t xml:space="preserve"> Il </w:t>
      </w:r>
      <w:r w:rsidR="00B31C3E">
        <w:t>legislatore</w:t>
      </w:r>
      <w:r w:rsidR="009A1D6E">
        <w:t xml:space="preserve"> adotta, quale </w:t>
      </w:r>
      <w:r w:rsidR="009A1D6E" w:rsidRPr="009A1D6E">
        <w:rPr>
          <w:i/>
        </w:rPr>
        <w:t>extrema ratio</w:t>
      </w:r>
      <w:r w:rsidR="009A1D6E">
        <w:t xml:space="preserve"> di tutela, la massima misura afflittiva costituita dal diritto penale quando ogni altra misura, tra cui quella della sanzione amministrativa, sia risultata inefficace.</w:t>
      </w:r>
    </w:p>
    <w:p w14:paraId="4E029926" w14:textId="50D83DAC" w:rsidR="00E7799C" w:rsidRDefault="003F20FE" w:rsidP="003A63CD">
      <w:pPr>
        <w:spacing w:after="100" w:afterAutospacing="1" w:line="276" w:lineRule="auto"/>
      </w:pPr>
      <w:r>
        <w:t xml:space="preserve">Per </w:t>
      </w:r>
      <w:r w:rsidR="00BF34D3">
        <w:t xml:space="preserve">tutte </w:t>
      </w:r>
      <w:r>
        <w:t>le altre condotte</w:t>
      </w:r>
      <w:r w:rsidR="00BF34D3">
        <w:t xml:space="preserve"> manipolative</w:t>
      </w:r>
      <w:r>
        <w:t>, solo astrattamente pericolose, residuerebbe invece l’illecito amministrativo</w:t>
      </w:r>
      <w:r w:rsidR="00AA6ED8">
        <w:t xml:space="preserve"> quale anticipazione della tutela penale</w:t>
      </w:r>
      <w:r>
        <w:t>.</w:t>
      </w:r>
      <w:r w:rsidR="00AA6ED8">
        <w:t xml:space="preserve"> Sarebbero in tal maniera sanzionati, oltre a tutti i fatti solo astrattamente pericolosi descritti dall’art. 187 </w:t>
      </w:r>
      <w:r w:rsidR="00AA6ED8" w:rsidRPr="00AA6ED8">
        <w:rPr>
          <w:i/>
        </w:rPr>
        <w:t>ter</w:t>
      </w:r>
      <w:r w:rsidR="00AA6ED8">
        <w:t xml:space="preserve"> </w:t>
      </w:r>
      <w:r w:rsidR="005C7B2B">
        <w:t xml:space="preserve">del T.U.F. </w:t>
      </w:r>
      <w:r w:rsidR="00AA6ED8">
        <w:t>e quelli che in concreto non risultino idonei a cagionare una sensibile alterazione, anche le manipolazioni colpose</w:t>
      </w:r>
      <w:r w:rsidR="005C7B2B">
        <w:t>,</w:t>
      </w:r>
      <w:r w:rsidR="00AA6ED8">
        <w:t xml:space="preserve"> ovvero quelle per cui non sia stato possibile raggiungere l’elevato onere probatorio richiesto nel processo penale. </w:t>
      </w:r>
    </w:p>
    <w:p w14:paraId="0C337B0D" w14:textId="73BCA1A3" w:rsidR="009033F9" w:rsidRDefault="003A0E1F" w:rsidP="003A63CD">
      <w:pPr>
        <w:spacing w:after="100" w:afterAutospacing="1" w:line="276" w:lineRule="auto"/>
      </w:pPr>
      <w:r>
        <w:t>Se</w:t>
      </w:r>
      <w:r w:rsidR="00AA6ED8">
        <w:t xml:space="preserve"> il delitto seleziona</w:t>
      </w:r>
      <w:r>
        <w:t>,</w:t>
      </w:r>
      <w:r w:rsidRPr="003A0E1F">
        <w:t xml:space="preserve"> </w:t>
      </w:r>
      <w:r>
        <w:t xml:space="preserve">tra le condotte astrattamente idonee dell’art. 187 </w:t>
      </w:r>
      <w:r w:rsidRPr="00AA6ED8">
        <w:rPr>
          <w:i/>
        </w:rPr>
        <w:t>ter</w:t>
      </w:r>
      <w:r w:rsidR="005C7B2B">
        <w:t xml:space="preserve"> del T.U.F.</w:t>
      </w:r>
      <w:r>
        <w:t xml:space="preserve">, </w:t>
      </w:r>
      <w:r w:rsidR="00AA6ED8">
        <w:t xml:space="preserve">le sole </w:t>
      </w:r>
      <w:r w:rsidR="00B36058">
        <w:t xml:space="preserve">che </w:t>
      </w:r>
      <w:r w:rsidR="00AA6ED8">
        <w:t>concretamente</w:t>
      </w:r>
      <w:r w:rsidR="00B36058">
        <w:t xml:space="preserve"> </w:t>
      </w:r>
      <w:r w:rsidR="005C7B2B">
        <w:t>mettano</w:t>
      </w:r>
      <w:r w:rsidR="00B36058">
        <w:t xml:space="preserve"> in pericolo o danneggi</w:t>
      </w:r>
      <w:r w:rsidR="005C7B2B">
        <w:t>no</w:t>
      </w:r>
      <w:r w:rsidR="00B36058">
        <w:t xml:space="preserve"> il bene giuridico dell’integrità del mercato</w:t>
      </w:r>
      <w:r w:rsidRPr="003A0E1F">
        <w:t xml:space="preserve"> </w:t>
      </w:r>
      <w:r>
        <w:t>in un’ottica di progressione di tutela</w:t>
      </w:r>
      <w:r w:rsidR="00B36058">
        <w:t>, l’illecito amministrativo costituirà un antefatto non punibile, ossia l’attività che secondo l’</w:t>
      </w:r>
      <w:r w:rsidR="00B36058" w:rsidRPr="00FB44B7">
        <w:rPr>
          <w:i/>
        </w:rPr>
        <w:t>id quod plerumque accidit</w:t>
      </w:r>
      <w:r w:rsidR="00B36058">
        <w:t xml:space="preserve"> precede la commissione di un determinato reato</w:t>
      </w:r>
      <w:r>
        <w:rPr>
          <w:rStyle w:val="Rimandonotaapidipagina"/>
        </w:rPr>
        <w:footnoteReference w:id="109"/>
      </w:r>
      <w:r w:rsidR="00B36058">
        <w:t>.</w:t>
      </w:r>
      <w:r w:rsidR="002541E0">
        <w:t xml:space="preserve"> Il delitto</w:t>
      </w:r>
      <w:r w:rsidR="0043291D">
        <w:t>, fattispecie più grave</w:t>
      </w:r>
      <w:r w:rsidR="005C7B2B">
        <w:t>,</w:t>
      </w:r>
      <w:r w:rsidR="0043291D">
        <w:t xml:space="preserve"> perché più prossima all’evento,</w:t>
      </w:r>
      <w:r w:rsidR="002541E0">
        <w:t xml:space="preserve"> </w:t>
      </w:r>
      <w:r w:rsidR="0043291D">
        <w:t>assorbirebbe il disvalore dell’illecito amministrativo, il quale dovrebbe risultare ad esso cedevole</w:t>
      </w:r>
      <w:r w:rsidR="005C7B2B">
        <w:t>,</w:t>
      </w:r>
      <w:r w:rsidR="0043291D">
        <w:t xml:space="preserve"> se non altro perché altrimenti di ricadrebbe nuovamente nel </w:t>
      </w:r>
      <w:r w:rsidR="0043291D" w:rsidRPr="0043291D">
        <w:rPr>
          <w:i/>
        </w:rPr>
        <w:t>ne bis in idem</w:t>
      </w:r>
      <w:r w:rsidR="007316E8">
        <w:rPr>
          <w:rStyle w:val="Rimandonotaapidipagina"/>
        </w:rPr>
        <w:footnoteReference w:id="110"/>
      </w:r>
      <w:r w:rsidR="007316E8">
        <w:t>.</w:t>
      </w:r>
    </w:p>
    <w:p w14:paraId="70BB4549" w14:textId="7D410054" w:rsidR="007B6AAA" w:rsidRDefault="007B6AAA" w:rsidP="003A63CD">
      <w:pPr>
        <w:spacing w:after="100" w:afterAutospacing="1" w:line="276" w:lineRule="auto"/>
      </w:pPr>
      <w:r>
        <w:t>Conseguenza sarà che il delitto, avendo quale presupposto necessario</w:t>
      </w:r>
      <w:r w:rsidR="007316E8">
        <w:t xml:space="preserve"> l’illecito amministrativo</w:t>
      </w:r>
      <w:r>
        <w:t xml:space="preserve"> ed avendo bisogno di una maggior determinatezza a fronte delle critiche unanimi che da sempre sono rivolte alla fattispecie, potrà essere interpretato anche attraverso l’esame del suo antefatto. Dunque sicuramente non potrà essere considerato un artificio concretamente idoneo a cagionare un’alterazione la condotta che, prima di assurgere al grado di pericolo concreto, non rientri neanche nelle ipotesi di pericolo astratto di cui all’art. 187 </w:t>
      </w:r>
      <w:r w:rsidRPr="007B6AAA">
        <w:rPr>
          <w:i/>
        </w:rPr>
        <w:t>ter</w:t>
      </w:r>
      <w:r w:rsidR="005C7B2B">
        <w:t xml:space="preserve"> del T.U.F..</w:t>
      </w:r>
    </w:p>
    <w:p w14:paraId="21D1BB0A" w14:textId="5597727F" w:rsidR="00826C58" w:rsidRDefault="006D7357" w:rsidP="003A63CD">
      <w:pPr>
        <w:spacing w:after="100" w:afterAutospacing="1" w:line="276" w:lineRule="auto"/>
      </w:pPr>
      <w:r>
        <w:rPr>
          <w:rFonts w:cs="Times New Roman"/>
        </w:rPr>
        <w:t xml:space="preserve">Le immagini </w:t>
      </w:r>
      <w:r w:rsidR="00F97846">
        <w:rPr>
          <w:rFonts w:cs="Times New Roman"/>
        </w:rPr>
        <w:t>della matematica degli insiemi</w:t>
      </w:r>
      <w:r>
        <w:rPr>
          <w:rFonts w:cs="Times New Roman"/>
        </w:rPr>
        <w:t xml:space="preserve"> risultano particolarmente efficaci a rendere l’idea </w:t>
      </w:r>
      <w:r w:rsidR="001808E4">
        <w:rPr>
          <w:rFonts w:cs="Times New Roman"/>
        </w:rPr>
        <w:t xml:space="preserve">del rapporto tra illeciti. </w:t>
      </w:r>
      <w:r w:rsidR="00826C58">
        <w:rPr>
          <w:rFonts w:cs="Times New Roman"/>
        </w:rPr>
        <w:t>Sembra</w:t>
      </w:r>
      <w:r w:rsidR="007D3CF7">
        <w:rPr>
          <w:rFonts w:cs="Times New Roman"/>
        </w:rPr>
        <w:t>,</w:t>
      </w:r>
      <w:r w:rsidR="00826C58">
        <w:rPr>
          <w:rFonts w:cs="Times New Roman"/>
        </w:rPr>
        <w:t xml:space="preserve"> infatti</w:t>
      </w:r>
      <w:r w:rsidR="007D3CF7">
        <w:rPr>
          <w:rFonts w:cs="Times New Roman"/>
        </w:rPr>
        <w:t>,</w:t>
      </w:r>
      <w:r w:rsidR="00826C58">
        <w:rPr>
          <w:rFonts w:cs="Times New Roman"/>
        </w:rPr>
        <w:t xml:space="preserve"> che il rapporto tra le fattispecie possa essere delineato come quello tra due </w:t>
      </w:r>
      <w:r w:rsidR="00335A0C">
        <w:rPr>
          <w:rFonts w:cs="Times New Roman"/>
        </w:rPr>
        <w:t>“</w:t>
      </w:r>
      <w:r w:rsidR="00826C58">
        <w:rPr>
          <w:rFonts w:cs="Times New Roman"/>
        </w:rPr>
        <w:t>coni di luce</w:t>
      </w:r>
      <w:r w:rsidR="00335A0C">
        <w:rPr>
          <w:rFonts w:cs="Times New Roman"/>
        </w:rPr>
        <w:t>”</w:t>
      </w:r>
      <w:r w:rsidR="00826C58">
        <w:rPr>
          <w:rFonts w:cs="Times New Roman"/>
        </w:rPr>
        <w:t xml:space="preserve"> coincidenti, se si vogliono far coincidere le condotte dei due illeciti</w:t>
      </w:r>
      <w:r w:rsidR="00F1729A">
        <w:rPr>
          <w:rStyle w:val="Rimandonotaapidipagina"/>
          <w:rFonts w:cs="Times New Roman"/>
        </w:rPr>
        <w:footnoteReference w:id="111"/>
      </w:r>
      <w:r w:rsidR="00826C58">
        <w:rPr>
          <w:rFonts w:cs="Times New Roman"/>
        </w:rPr>
        <w:t>, ovvero concentrici, qualora si voglia dare all’illecito amministrativo un’estensione maggiore</w:t>
      </w:r>
      <w:r w:rsidR="00C75BAD">
        <w:rPr>
          <w:rFonts w:cs="Times New Roman"/>
        </w:rPr>
        <w:t>,</w:t>
      </w:r>
      <w:r w:rsidR="00826C58">
        <w:rPr>
          <w:rFonts w:cs="Times New Roman"/>
        </w:rPr>
        <w:t xml:space="preserve"> dal punto di vista oggettivo</w:t>
      </w:r>
      <w:r w:rsidR="00C75BAD">
        <w:rPr>
          <w:rFonts w:cs="Times New Roman"/>
        </w:rPr>
        <w:t>,</w:t>
      </w:r>
      <w:r w:rsidR="00826C58">
        <w:rPr>
          <w:rFonts w:cs="Times New Roman"/>
        </w:rPr>
        <w:t xml:space="preserve"> rispetto al delitto.</w:t>
      </w:r>
      <w:r w:rsidR="00C75BAD">
        <w:rPr>
          <w:rFonts w:cs="Times New Roman"/>
        </w:rPr>
        <w:t xml:space="preserve"> Per cui il cono</w:t>
      </w:r>
      <w:r w:rsidR="00335A0C">
        <w:rPr>
          <w:rFonts w:cs="Times New Roman"/>
        </w:rPr>
        <w:t xml:space="preserve"> di luce</w:t>
      </w:r>
      <w:r w:rsidR="00C75BAD">
        <w:rPr>
          <w:rFonts w:cs="Times New Roman"/>
        </w:rPr>
        <w:t xml:space="preserve"> più piccolo </w:t>
      </w:r>
      <w:r w:rsidR="00335A0C">
        <w:rPr>
          <w:rFonts w:cs="Times New Roman"/>
        </w:rPr>
        <w:t>dovrà</w:t>
      </w:r>
      <w:r w:rsidR="00C75BAD">
        <w:rPr>
          <w:rFonts w:cs="Times New Roman"/>
        </w:rPr>
        <w:t xml:space="preserve"> necessariamente </w:t>
      </w:r>
      <w:r w:rsidR="00335A0C">
        <w:rPr>
          <w:rFonts w:cs="Times New Roman"/>
        </w:rPr>
        <w:t>essere ricompreso nel</w:t>
      </w:r>
      <w:r w:rsidR="00C75BAD">
        <w:rPr>
          <w:rFonts w:cs="Times New Roman"/>
        </w:rPr>
        <w:t xml:space="preserve"> cono</w:t>
      </w:r>
      <w:r w:rsidR="00335A0C">
        <w:rPr>
          <w:rFonts w:cs="Times New Roman"/>
        </w:rPr>
        <w:t xml:space="preserve"> di luce</w:t>
      </w:r>
      <w:r w:rsidR="00C75BAD">
        <w:rPr>
          <w:rFonts w:cs="Times New Roman"/>
        </w:rPr>
        <w:t xml:space="preserve"> più grande.</w:t>
      </w:r>
    </w:p>
    <w:p w14:paraId="3DACDE8D" w14:textId="635ACF4A" w:rsidR="007B6AAA" w:rsidRPr="00DB248E" w:rsidRDefault="007B6AAA" w:rsidP="003A63CD">
      <w:pPr>
        <w:autoSpaceDE w:val="0"/>
        <w:autoSpaceDN w:val="0"/>
        <w:adjustRightInd w:val="0"/>
        <w:spacing w:after="100" w:afterAutospacing="1" w:line="276" w:lineRule="auto"/>
        <w:rPr>
          <w:rFonts w:cs="Times New Roman"/>
        </w:rPr>
      </w:pPr>
      <w:r>
        <w:t xml:space="preserve">Un esempio può risultare esplicativo: </w:t>
      </w:r>
      <w:r w:rsidR="00F47A11">
        <w:t xml:space="preserve">la diffusione di notizie </w:t>
      </w:r>
      <w:r w:rsidR="002372BB">
        <w:t>false di cui all’art. 185 del T.U.F. sicuramente potrà essere ricompresa nella nozione di diffusione di i</w:t>
      </w:r>
      <w:r w:rsidR="002372BB">
        <w:rPr>
          <w:rFonts w:cs="Times New Roman"/>
        </w:rPr>
        <w:t xml:space="preserve">nformazioni, voci o notizie false o fuorvianti a cui si riferisce </w:t>
      </w:r>
      <w:r w:rsidR="00EB2763">
        <w:rPr>
          <w:rFonts w:cs="Times New Roman"/>
        </w:rPr>
        <w:t>i</w:t>
      </w:r>
      <w:r w:rsidR="002372BB">
        <w:rPr>
          <w:rFonts w:cs="Times New Roman"/>
        </w:rPr>
        <w:t>l</w:t>
      </w:r>
      <w:r w:rsidR="00B613F7">
        <w:rPr>
          <w:rFonts w:cs="Times New Roman"/>
        </w:rPr>
        <w:t xml:space="preserve"> primo comma del successivo </w:t>
      </w:r>
      <w:r w:rsidR="002372BB">
        <w:rPr>
          <w:rFonts w:cs="Times New Roman"/>
        </w:rPr>
        <w:t xml:space="preserve">art. 187 </w:t>
      </w:r>
      <w:r w:rsidR="002372BB" w:rsidRPr="00EB2763">
        <w:rPr>
          <w:rFonts w:cs="Times New Roman"/>
          <w:i/>
        </w:rPr>
        <w:t>ter</w:t>
      </w:r>
      <w:r w:rsidR="002372BB">
        <w:rPr>
          <w:rFonts w:cs="Times New Roman"/>
        </w:rPr>
        <w:t>, così come il fornire e l’essere suscettibile di fornire indicazioni false o fuorvianti sugli strumenti finanziari</w:t>
      </w:r>
      <w:r w:rsidR="00DB248E">
        <w:rPr>
          <w:rFonts w:cs="Times New Roman"/>
        </w:rPr>
        <w:t xml:space="preserve"> sarà il </w:t>
      </w:r>
      <w:r w:rsidR="00DB248E" w:rsidRPr="00EB2763">
        <w:rPr>
          <w:rFonts w:cs="Times New Roman"/>
          <w:i/>
        </w:rPr>
        <w:t>genus</w:t>
      </w:r>
      <w:r w:rsidR="00DB248E">
        <w:rPr>
          <w:rFonts w:cs="Times New Roman"/>
        </w:rPr>
        <w:t xml:space="preserve"> in cui è ricompresa la </w:t>
      </w:r>
      <w:r w:rsidR="00DB248E" w:rsidRPr="00EB2763">
        <w:rPr>
          <w:rFonts w:cs="Times New Roman"/>
          <w:i/>
        </w:rPr>
        <w:t>species</w:t>
      </w:r>
      <w:r w:rsidR="00DB248E">
        <w:rPr>
          <w:rFonts w:cs="Times New Roman"/>
        </w:rPr>
        <w:t xml:space="preserve"> della concreta idoneità alla sensibile alterazione del prezzo</w:t>
      </w:r>
      <w:r w:rsidR="00EB2763">
        <w:rPr>
          <w:rStyle w:val="Rimandonotaapidipagina"/>
          <w:rFonts w:cs="Times New Roman"/>
        </w:rPr>
        <w:footnoteReference w:id="112"/>
      </w:r>
      <w:r w:rsidR="00DB248E">
        <w:rPr>
          <w:rFonts w:cs="Times New Roman"/>
        </w:rPr>
        <w:t>.</w:t>
      </w:r>
    </w:p>
    <w:p w14:paraId="64A019FB" w14:textId="2DCF2945" w:rsidR="004332A4" w:rsidRDefault="00DB248E" w:rsidP="003A63CD">
      <w:pPr>
        <w:spacing w:after="100" w:afterAutospacing="1" w:line="276" w:lineRule="auto"/>
        <w:rPr>
          <w:rFonts w:cs="Times New Roman"/>
        </w:rPr>
      </w:pPr>
      <w:r>
        <w:t>Similmente</w:t>
      </w:r>
      <w:r w:rsidR="0021424C">
        <w:t xml:space="preserve"> può ravvisarsi un rapporto di continenza anche nella manipolazione operativa avente la forma delle </w:t>
      </w:r>
      <w:r w:rsidR="0021424C" w:rsidRPr="0021424C">
        <w:rPr>
          <w:i/>
        </w:rPr>
        <w:t>false/misleading transactions</w:t>
      </w:r>
      <w:r w:rsidR="009A1D6E">
        <w:t>,</w:t>
      </w:r>
      <w:r w:rsidR="0021424C">
        <w:t xml:space="preserve"> </w:t>
      </w:r>
      <w:r w:rsidR="004332A4">
        <w:t xml:space="preserve">cui sono </w:t>
      </w:r>
      <w:r w:rsidR="0021424C">
        <w:t>riconducibili le operazioni simulate, e degli altri artifici, il cui ante</w:t>
      </w:r>
      <w:r w:rsidR="002E4F05">
        <w:t>fatto</w:t>
      </w:r>
      <w:r w:rsidR="0021424C">
        <w:t xml:space="preserve"> può essere rintracciato nelle operazioni di </w:t>
      </w:r>
      <w:r w:rsidR="0021424C" w:rsidRPr="0021424C">
        <w:rPr>
          <w:i/>
        </w:rPr>
        <w:t>price positioning</w:t>
      </w:r>
      <w:r w:rsidR="009A1D6E">
        <w:t xml:space="preserve"> </w:t>
      </w:r>
      <w:r w:rsidR="0021424C">
        <w:t xml:space="preserve">e di </w:t>
      </w:r>
      <w:r w:rsidR="0021424C" w:rsidRPr="00A40FEF">
        <w:rPr>
          <w:rFonts w:cs="Times New Roman"/>
          <w:i/>
        </w:rPr>
        <w:t>transactions involving ficticiuous devices/deception</w:t>
      </w:r>
      <w:r w:rsidR="009A1D6E" w:rsidRPr="009A1D6E">
        <w:rPr>
          <w:rStyle w:val="Rimandonotaapidipagina"/>
          <w:rFonts w:cs="Times New Roman"/>
        </w:rPr>
        <w:footnoteReference w:id="113"/>
      </w:r>
      <w:r w:rsidR="0021424C" w:rsidRPr="009A1D6E">
        <w:rPr>
          <w:rFonts w:cs="Times New Roman"/>
        </w:rPr>
        <w:t>.</w:t>
      </w:r>
      <w:r w:rsidR="009A1D6E">
        <w:rPr>
          <w:rFonts w:cs="Times New Roman"/>
        </w:rPr>
        <w:t xml:space="preserve"> </w:t>
      </w:r>
    </w:p>
    <w:p w14:paraId="69CE39B7" w14:textId="00EFA43F" w:rsidR="00B1718A" w:rsidRDefault="0081703D" w:rsidP="003A63CD">
      <w:pPr>
        <w:spacing w:after="100" w:afterAutospacing="1" w:line="276" w:lineRule="auto"/>
        <w:rPr>
          <w:rFonts w:cs="Times New Roman"/>
        </w:rPr>
      </w:pPr>
      <w:r>
        <w:rPr>
          <w:rFonts w:cs="Times New Roman"/>
        </w:rPr>
        <w:t>La conseguenza sarà che non si potrà sostenere l’esistenza del delitto di manipolazione del mercato ove</w:t>
      </w:r>
      <w:r w:rsidR="004332A4">
        <w:rPr>
          <w:rFonts w:cs="Times New Roman"/>
        </w:rPr>
        <w:t xml:space="preserve"> </w:t>
      </w:r>
      <w:r w:rsidR="00335A0C">
        <w:rPr>
          <w:rFonts w:cs="Times New Roman"/>
        </w:rPr>
        <w:t>il</w:t>
      </w:r>
      <w:r>
        <w:rPr>
          <w:rFonts w:cs="Times New Roman"/>
        </w:rPr>
        <w:t xml:space="preserve"> </w:t>
      </w:r>
      <w:r w:rsidR="00335A0C">
        <w:rPr>
          <w:rFonts w:cs="Times New Roman"/>
        </w:rPr>
        <w:t>cono di luce</w:t>
      </w:r>
      <w:r>
        <w:rPr>
          <w:rFonts w:cs="Times New Roman"/>
        </w:rPr>
        <w:t xml:space="preserve"> della sua condotta</w:t>
      </w:r>
      <w:r w:rsidR="00335A0C">
        <w:rPr>
          <w:rFonts w:cs="Times New Roman"/>
        </w:rPr>
        <w:t xml:space="preserve">, dai tratti problematicamente indefiniti per le note difficoltà interpretative della fattispecie, non rientri neanche nel più grande cono di luce </w:t>
      </w:r>
      <w:r>
        <w:rPr>
          <w:rFonts w:cs="Times New Roman"/>
        </w:rPr>
        <w:t>della condotta dell’illecito amministrativo</w:t>
      </w:r>
      <w:r w:rsidR="004332A4">
        <w:rPr>
          <w:rFonts w:cs="Times New Roman"/>
        </w:rPr>
        <w:t xml:space="preserve">. </w:t>
      </w:r>
      <w:r w:rsidR="00B1718A">
        <w:rPr>
          <w:rFonts w:cs="Times New Roman"/>
        </w:rPr>
        <w:t>Masucci aveva già sostenuto la</w:t>
      </w:r>
      <w:r w:rsidR="00F46B77">
        <w:rPr>
          <w:rFonts w:cs="Times New Roman"/>
        </w:rPr>
        <w:t xml:space="preserve"> necessità di riscontrare gli elementi dell’art. 187 </w:t>
      </w:r>
      <w:r w:rsidR="00F46B77" w:rsidRPr="00B1718A">
        <w:rPr>
          <w:rFonts w:cs="Times New Roman"/>
          <w:i/>
        </w:rPr>
        <w:t>ter</w:t>
      </w:r>
      <w:r w:rsidR="00F46B77">
        <w:rPr>
          <w:rFonts w:cs="Times New Roman"/>
        </w:rPr>
        <w:t xml:space="preserve"> </w:t>
      </w:r>
      <w:r w:rsidR="00B613F7">
        <w:rPr>
          <w:rFonts w:cs="Times New Roman"/>
        </w:rPr>
        <w:t xml:space="preserve">del T.U.F. </w:t>
      </w:r>
      <w:r w:rsidR="00B1718A">
        <w:rPr>
          <w:rFonts w:cs="Times New Roman"/>
        </w:rPr>
        <w:t xml:space="preserve">quale </w:t>
      </w:r>
      <w:r w:rsidR="00B1718A" w:rsidRPr="00B1718A">
        <w:rPr>
          <w:rFonts w:cs="Times New Roman"/>
          <w:i/>
        </w:rPr>
        <w:t>«soglia minima di disvalore, alla quale soltanto potrebbero conseguire sanzioni punitive»</w:t>
      </w:r>
      <w:r w:rsidR="00B1718A">
        <w:rPr>
          <w:rStyle w:val="Rimandonotaapidipagina"/>
          <w:rFonts w:cs="Times New Roman"/>
        </w:rPr>
        <w:footnoteReference w:id="114"/>
      </w:r>
      <w:r w:rsidR="00B1718A">
        <w:rPr>
          <w:rFonts w:cs="Times New Roman"/>
        </w:rPr>
        <w:t xml:space="preserve">. </w:t>
      </w:r>
    </w:p>
    <w:p w14:paraId="1BB311B0" w14:textId="510584A5" w:rsidR="00DB248E" w:rsidRDefault="00B1718A" w:rsidP="003A63CD">
      <w:pPr>
        <w:spacing w:after="100" w:afterAutospacing="1" w:line="276" w:lineRule="auto"/>
        <w:rPr>
          <w:rFonts w:cs="Times New Roman"/>
        </w:rPr>
      </w:pPr>
      <w:r>
        <w:rPr>
          <w:rFonts w:cs="Times New Roman"/>
        </w:rPr>
        <w:t xml:space="preserve">Infatti, secondo l’Autore </w:t>
      </w:r>
      <w:r w:rsidR="00F46B77" w:rsidRPr="009E548B">
        <w:rPr>
          <w:rFonts w:cs="Times New Roman"/>
          <w:i/>
        </w:rPr>
        <w:t xml:space="preserve">«solo il riscontro dei requisiti […] indicati nell’art. 187 ter fonderebbe l’illiceità amministrativa di operazioni o di ordini non simulati. Perché </w:t>
      </w:r>
      <w:r w:rsidR="009E548B" w:rsidRPr="009E548B">
        <w:rPr>
          <w:rFonts w:cs="Times New Roman"/>
          <w:i/>
        </w:rPr>
        <w:t>questi ultimi diano corpo, in chiave oggettiva, al reato di manipolazione del mercato dovrà altresì accertarsene l’idoneità a produrre una rilevante turbativa del mercato</w:t>
      </w:r>
      <w:r w:rsidR="00F46B77" w:rsidRPr="009E548B">
        <w:rPr>
          <w:rFonts w:cs="Times New Roman"/>
          <w:i/>
        </w:rPr>
        <w:t>»</w:t>
      </w:r>
      <w:r w:rsidR="00CA08C8">
        <w:rPr>
          <w:rStyle w:val="Rimandonotaapidipagina"/>
          <w:rFonts w:cs="Times New Roman"/>
        </w:rPr>
        <w:footnoteReference w:id="115"/>
      </w:r>
      <w:r w:rsidR="00F46B77">
        <w:rPr>
          <w:rFonts w:cs="Times New Roman"/>
        </w:rPr>
        <w:t xml:space="preserve">. </w:t>
      </w:r>
      <w:r>
        <w:rPr>
          <w:rFonts w:cs="Times New Roman"/>
        </w:rPr>
        <w:t>Tali</w:t>
      </w:r>
      <w:r w:rsidR="00F46B77">
        <w:rPr>
          <w:rFonts w:cs="Times New Roman"/>
        </w:rPr>
        <w:t xml:space="preserve"> considerazioni </w:t>
      </w:r>
      <w:r>
        <w:rPr>
          <w:rFonts w:cs="Times New Roman"/>
        </w:rPr>
        <w:t>però</w:t>
      </w:r>
      <w:r w:rsidR="00F46B77">
        <w:rPr>
          <w:rFonts w:cs="Times New Roman"/>
        </w:rPr>
        <w:t xml:space="preserve"> erano limitate </w:t>
      </w:r>
      <w:r w:rsidR="00CA08C8">
        <w:rPr>
          <w:rFonts w:cs="Times New Roman"/>
        </w:rPr>
        <w:t xml:space="preserve">alle operazioni non simulate, ma alla luce </w:t>
      </w:r>
      <w:r>
        <w:rPr>
          <w:rFonts w:cs="Times New Roman"/>
        </w:rPr>
        <w:t xml:space="preserve">della sentenza della Corte EDU e </w:t>
      </w:r>
      <w:r w:rsidR="00CA08C8">
        <w:rPr>
          <w:rFonts w:cs="Times New Roman"/>
        </w:rPr>
        <w:t>dell</w:t>
      </w:r>
      <w:r>
        <w:rPr>
          <w:rFonts w:cs="Times New Roman"/>
        </w:rPr>
        <w:t xml:space="preserve">a conseguente </w:t>
      </w:r>
      <w:r w:rsidR="00CA08C8">
        <w:rPr>
          <w:rFonts w:cs="Times New Roman"/>
        </w:rPr>
        <w:t xml:space="preserve">analisi svolta </w:t>
      </w:r>
      <w:r>
        <w:rPr>
          <w:rFonts w:cs="Times New Roman"/>
        </w:rPr>
        <w:t>possono essere estese</w:t>
      </w:r>
      <w:r w:rsidR="00CA08C8">
        <w:rPr>
          <w:rFonts w:cs="Times New Roman"/>
        </w:rPr>
        <w:t xml:space="preserve"> all’intero rapporto tra </w:t>
      </w:r>
      <w:r>
        <w:rPr>
          <w:rFonts w:cs="Times New Roman"/>
        </w:rPr>
        <w:t>le fattispecie di manipolazione</w:t>
      </w:r>
      <w:r w:rsidR="00CA08C8">
        <w:rPr>
          <w:rFonts w:cs="Times New Roman"/>
        </w:rPr>
        <w:t>.</w:t>
      </w:r>
      <w:r w:rsidR="006D7357">
        <w:rPr>
          <w:rFonts w:cs="Times New Roman"/>
        </w:rPr>
        <w:t xml:space="preserve"> </w:t>
      </w:r>
    </w:p>
    <w:p w14:paraId="3CF2F98E" w14:textId="5999E0AB" w:rsidR="009E548B" w:rsidRPr="00A36990" w:rsidRDefault="0027113B" w:rsidP="003A63CD">
      <w:pPr>
        <w:spacing w:after="100" w:afterAutospacing="1" w:line="276" w:lineRule="auto"/>
        <w:rPr>
          <w:rFonts w:cs="Times New Roman"/>
          <w:i/>
          <w:color w:val="231F20"/>
        </w:rPr>
      </w:pPr>
      <w:r>
        <w:t>Così</w:t>
      </w:r>
      <w:r w:rsidR="009E548B">
        <w:t xml:space="preserve"> </w:t>
      </w:r>
      <w:r>
        <w:t>sarà possibile fare un</w:t>
      </w:r>
      <w:r w:rsidR="009E548B">
        <w:t xml:space="preserve"> parallelismo tra illecito amministrativo e prassi legittime</w:t>
      </w:r>
      <w:r>
        <w:t>, che</w:t>
      </w:r>
      <w:r w:rsidR="009E548B">
        <w:t xml:space="preserve"> si configurerà nel senso che entrambe costituiscono un limite alla fattispecie penale</w:t>
      </w:r>
      <w:r w:rsidR="0054538B">
        <w:t xml:space="preserve"> (in senso ampio: come fattispecie di illecito presidiato da sanzioni “punitive”)</w:t>
      </w:r>
      <w:r>
        <w:t>.</w:t>
      </w:r>
      <w:r w:rsidR="00A36990">
        <w:t xml:space="preserve"> Era stato a proposito già rilevato come, a proposito delle prassi legittime, </w:t>
      </w:r>
      <w:r w:rsidRPr="002004C3">
        <w:rPr>
          <w:rFonts w:cs="Times New Roman"/>
          <w:i/>
          <w:color w:val="231F20"/>
        </w:rPr>
        <w:t>«la validità di un’interpretazione che faccia riferimento ad un illecito amministrativo per interpretare un reato può apparire discutibile, tuttavia il principio di ragionevolezza spinge a ritenere estensibile anche alla fattispecie più grave la maggior determinatezza propria della fattispecie meno grave»</w:t>
      </w:r>
      <w:r w:rsidRPr="002004C3">
        <w:rPr>
          <w:rStyle w:val="Rimandonotaapidipagina"/>
          <w:rFonts w:cs="Times New Roman"/>
          <w:color w:val="231F20"/>
        </w:rPr>
        <w:footnoteReference w:id="116"/>
      </w:r>
      <w:r w:rsidRPr="0079210E">
        <w:rPr>
          <w:rFonts w:cs="Times New Roman"/>
          <w:color w:val="231F20"/>
        </w:rPr>
        <w:t>.</w:t>
      </w:r>
    </w:p>
    <w:p w14:paraId="6B70C244" w14:textId="4CE79113" w:rsidR="0027113B" w:rsidRDefault="00A36990" w:rsidP="003A63CD">
      <w:pPr>
        <w:spacing w:after="100" w:afterAutospacing="1" w:line="276" w:lineRule="auto"/>
      </w:pPr>
      <w:r>
        <w:t>Le differenze, invece, potranno riscontrarsi nella natura dei due limiti: limite negativo, esegetico</w:t>
      </w:r>
      <w:r w:rsidR="0081703D">
        <w:t>,</w:t>
      </w:r>
      <w:r>
        <w:t xml:space="preserve"> quello delle prassi ammesse</w:t>
      </w:r>
      <w:r w:rsidR="00BA04DC">
        <w:t>, perché la loro presenza vale ad interpretare gli illeciti nel senso di escludere la manipolazione del mercato; limite positivo quello costituito dall’illecito amministrativo</w:t>
      </w:r>
      <w:r w:rsidR="0081703D">
        <w:t>,</w:t>
      </w:r>
      <w:r w:rsidR="00BA04DC">
        <w:t xml:space="preserve"> </w:t>
      </w:r>
      <w:r w:rsidR="00A47D4C">
        <w:t>poiché</w:t>
      </w:r>
      <w:r w:rsidR="00BA04DC">
        <w:t xml:space="preserve"> la sussistenza dei suoi elementi è necessaria a dare un contenuto interpretativo minimo alla nozione di “artifici”.</w:t>
      </w:r>
    </w:p>
    <w:p w14:paraId="1D8C3EDC" w14:textId="01B61499" w:rsidR="00E4252B" w:rsidRPr="008F58E0" w:rsidRDefault="008F58E0" w:rsidP="003A63CD">
      <w:pPr>
        <w:spacing w:after="100" w:afterAutospacing="1" w:line="276" w:lineRule="auto"/>
      </w:pPr>
      <w:r>
        <w:t>I</w:t>
      </w:r>
      <w:r w:rsidR="005042BD">
        <w:t>l</w:t>
      </w:r>
      <w:r w:rsidR="00E4252B">
        <w:t xml:space="preserve"> limite positivo</w:t>
      </w:r>
      <w:r w:rsidR="005042BD">
        <w:t xml:space="preserve"> dell’illecito amministrativo</w:t>
      </w:r>
      <w:r w:rsidR="00E4252B">
        <w:t xml:space="preserve"> </w:t>
      </w:r>
      <w:r>
        <w:t>si tratteggerà</w:t>
      </w:r>
      <w:r w:rsidR="005042BD">
        <w:t xml:space="preserve"> così</w:t>
      </w:r>
      <w:r w:rsidR="00E4252B">
        <w:t xml:space="preserve"> </w:t>
      </w:r>
      <w:r w:rsidR="005042BD">
        <w:t>lungo tutta la fattispecie del delitto di manipolazione del mercato ed avrà un carattere anal</w:t>
      </w:r>
      <w:r>
        <w:t>ogo in tutta l’Unione europea. Al contrario, i</w:t>
      </w:r>
      <w:r w:rsidR="005042BD">
        <w:t xml:space="preserve">l limite </w:t>
      </w:r>
      <w:r>
        <w:t>negativo delle prassi legittime</w:t>
      </w:r>
      <w:r w:rsidR="005042BD">
        <w:t xml:space="preserve"> potrà essere formato su base nazionale a discrezione delle autorità nazionali competenti</w:t>
      </w:r>
      <w:r w:rsidR="003545CA">
        <w:t>,</w:t>
      </w:r>
      <w:r w:rsidR="005042BD">
        <w:t xml:space="preserve"> ma </w:t>
      </w:r>
      <w:r w:rsidR="00255965">
        <w:t>sempre sotto la supervisione dell’ESMA</w:t>
      </w:r>
      <w:r w:rsidR="00255965">
        <w:rPr>
          <w:rStyle w:val="Rimandonotaapidipagina"/>
        </w:rPr>
        <w:footnoteReference w:id="117"/>
      </w:r>
      <w:r w:rsidR="005042BD">
        <w:t>, avrà</w:t>
      </w:r>
      <w:r>
        <w:t xml:space="preserve"> una</w:t>
      </w:r>
      <w:r w:rsidR="005042BD">
        <w:t xml:space="preserve"> natura</w:t>
      </w:r>
      <w:r>
        <w:t xml:space="preserve"> normativa</w:t>
      </w:r>
      <w:r w:rsidR="005042BD">
        <w:t xml:space="preserve"> estremamente puntuale e potrà riguardare</w:t>
      </w:r>
      <w:r>
        <w:t xml:space="preserve"> non l’intero ambito delle condotte manipolative</w:t>
      </w:r>
      <w:r w:rsidR="003545CA">
        <w:t>,</w:t>
      </w:r>
      <w:r>
        <w:t xml:space="preserve"> ma soltanto le </w:t>
      </w:r>
      <w:r w:rsidRPr="0021424C">
        <w:rPr>
          <w:i/>
        </w:rPr>
        <w:t>false/misleading transactions</w:t>
      </w:r>
      <w:r>
        <w:rPr>
          <w:i/>
        </w:rPr>
        <w:t xml:space="preserve"> </w:t>
      </w:r>
      <w:r>
        <w:t xml:space="preserve">e le operazioni di </w:t>
      </w:r>
      <w:r w:rsidRPr="008F58E0">
        <w:rPr>
          <w:i/>
        </w:rPr>
        <w:t>price positioning</w:t>
      </w:r>
      <w:r>
        <w:t>.</w:t>
      </w:r>
    </w:p>
    <w:p w14:paraId="1FBAA973" w14:textId="3F6B9827" w:rsidR="004A2FBE" w:rsidRPr="009F0943" w:rsidRDefault="00A72CBF" w:rsidP="003A63CD">
      <w:pPr>
        <w:pStyle w:val="Titolo2"/>
        <w:spacing w:after="100" w:afterAutospacing="1" w:line="276" w:lineRule="auto"/>
      </w:pPr>
      <w:bookmarkStart w:id="9" w:name="_Toc277195434"/>
      <w:r>
        <w:t>La</w:t>
      </w:r>
      <w:r w:rsidR="00D30714">
        <w:t xml:space="preserve"> violazione</w:t>
      </w:r>
      <w:r w:rsidR="004A2FBE" w:rsidRPr="009F0943">
        <w:t xml:space="preserve"> dei principi del giusto processo </w:t>
      </w:r>
      <w:r w:rsidR="00D30714">
        <w:t>nell’accertamento dell’illecito amministrativo</w:t>
      </w:r>
      <w:bookmarkEnd w:id="9"/>
    </w:p>
    <w:p w14:paraId="39226C7D" w14:textId="038598BB" w:rsidR="004A2FBE" w:rsidRDefault="00DC24DA" w:rsidP="003A63CD">
      <w:pPr>
        <w:spacing w:after="100" w:afterAutospacing="1" w:line="276" w:lineRule="auto"/>
        <w:rPr>
          <w:rFonts w:cs="Times New Roman"/>
        </w:rPr>
      </w:pPr>
      <w:r>
        <w:t>Si</w:t>
      </w:r>
      <w:r w:rsidR="004A2FBE">
        <w:t xml:space="preserve"> deve </w:t>
      </w:r>
      <w:r>
        <w:t xml:space="preserve">infine </w:t>
      </w:r>
      <w:r w:rsidR="002A4D3E">
        <w:t>dar conto di</w:t>
      </w:r>
      <w:r w:rsidR="004A2FBE">
        <w:t xml:space="preserve"> un’altra questione affrontata dalla Corte EDU </w:t>
      </w:r>
      <w:r w:rsidR="002A4D3E">
        <w:t>nel caso Grande Stevens</w:t>
      </w:r>
      <w:r w:rsidR="004A2FBE">
        <w:t>.</w:t>
      </w:r>
      <w:r w:rsidR="00A72CBF">
        <w:t xml:space="preserve"> La qualificazione dell’art. 187 </w:t>
      </w:r>
      <w:r w:rsidR="00A72CBF" w:rsidRPr="001F6A5E">
        <w:rPr>
          <w:i/>
        </w:rPr>
        <w:t>ter</w:t>
      </w:r>
      <w:r w:rsidR="00A72CBF">
        <w:t xml:space="preserve"> come illecito sostanzialmente penale ha </w:t>
      </w:r>
      <w:r w:rsidR="003400AA">
        <w:t>avuto, quale effetto ulteriore,</w:t>
      </w:r>
      <w:r w:rsidR="00A72CBF">
        <w:t xml:space="preserve"> la necessità di applicare anche al relativo procedimento di accertamento i principi del giusto processo stabiliti dall</w:t>
      </w:r>
      <w:r w:rsidR="004A2FBE">
        <w:rPr>
          <w:rFonts w:cs="Times New Roman"/>
        </w:rPr>
        <w:t>’art. 6 della Convenzione</w:t>
      </w:r>
      <w:r w:rsidR="00A72CBF">
        <w:rPr>
          <w:rFonts w:cs="Times New Roman"/>
        </w:rPr>
        <w:t xml:space="preserve"> EDU</w:t>
      </w:r>
      <w:r w:rsidR="004A2FBE">
        <w:rPr>
          <w:rStyle w:val="Rimandonotaapidipagina"/>
          <w:rFonts w:cs="Times New Roman"/>
        </w:rPr>
        <w:footnoteReference w:id="118"/>
      </w:r>
      <w:r w:rsidR="004A2FBE">
        <w:rPr>
          <w:rFonts w:cs="Times New Roman"/>
        </w:rPr>
        <w:t>.</w:t>
      </w:r>
    </w:p>
    <w:p w14:paraId="01E0C5E0" w14:textId="7BBD1FA9" w:rsidR="005758CF" w:rsidRDefault="00DC24DA" w:rsidP="003A63CD">
      <w:pPr>
        <w:spacing w:after="100" w:afterAutospacing="1" w:line="276" w:lineRule="auto"/>
        <w:rPr>
          <w:rFonts w:cs="Times New Roman"/>
        </w:rPr>
      </w:pPr>
      <w:r>
        <w:rPr>
          <w:rFonts w:cs="Times New Roman"/>
        </w:rPr>
        <w:t xml:space="preserve">Le contestazioni dei ricorrenti vertevano principalmente sulla circostanza che il procedimento della CONSOB fosse essenzialmente scritto, che non era stata prevista alcuna udienza pubblica e che </w:t>
      </w:r>
      <w:r w:rsidR="008937EB">
        <w:rPr>
          <w:rFonts w:cs="Times New Roman"/>
        </w:rPr>
        <w:t>non fosse stata ga</w:t>
      </w:r>
      <w:r w:rsidR="00CB3041">
        <w:rPr>
          <w:rFonts w:cs="Times New Roman"/>
        </w:rPr>
        <w:t>rantita la tutela dei diritti della</w:t>
      </w:r>
      <w:r w:rsidR="008937EB">
        <w:rPr>
          <w:rFonts w:cs="Times New Roman"/>
        </w:rPr>
        <w:t xml:space="preserve"> difes</w:t>
      </w:r>
      <w:r w:rsidR="005758CF">
        <w:rPr>
          <w:rFonts w:cs="Times New Roman"/>
        </w:rPr>
        <w:t xml:space="preserve">a. </w:t>
      </w:r>
      <w:r w:rsidR="00A53073">
        <w:rPr>
          <w:rFonts w:cs="Times New Roman"/>
        </w:rPr>
        <w:t>In particolare il documento contenente l’accusa formulata dalla CONSOB non è stato comunicato ai ricorrenti, i quali non hanno avuto occasione di difendersi, ed essi non hanno avuto l’opportunità di interrogare o far interrogare le persone eventualmente sentite dall’ufficio IT.</w:t>
      </w:r>
      <w:r w:rsidR="00204F45">
        <w:rPr>
          <w:rFonts w:cs="Times New Roman"/>
        </w:rPr>
        <w:t xml:space="preserve"> I ricorrenti così lamentano il mancato rispetto delle garanzie processuali minime, indipendentemente </w:t>
      </w:r>
      <w:r w:rsidR="00A14E89">
        <w:rPr>
          <w:rFonts w:cs="Times New Roman"/>
        </w:rPr>
        <w:t>dal ritenere il procedimento penale.</w:t>
      </w:r>
    </w:p>
    <w:p w14:paraId="6F522B38" w14:textId="567E1817" w:rsidR="000B1E80" w:rsidRDefault="005758CF" w:rsidP="003A63CD">
      <w:pPr>
        <w:spacing w:after="100" w:afterAutospacing="1" w:line="276" w:lineRule="auto"/>
        <w:rPr>
          <w:rFonts w:cs="Times New Roman"/>
        </w:rPr>
      </w:pPr>
      <w:r>
        <w:rPr>
          <w:rFonts w:cs="Times New Roman"/>
        </w:rPr>
        <w:t>Si deve fare una breve</w:t>
      </w:r>
      <w:r w:rsidRPr="00154119">
        <w:rPr>
          <w:rFonts w:cs="Times New Roman"/>
        </w:rPr>
        <w:t xml:space="preserve"> premessa sul funzionamento</w:t>
      </w:r>
      <w:r w:rsidR="00541B98">
        <w:rPr>
          <w:rFonts w:cs="Times New Roman"/>
        </w:rPr>
        <w:t xml:space="preserve"> del sistema sanzionatorio</w:t>
      </w:r>
      <w:r w:rsidR="00A6484D">
        <w:rPr>
          <w:rFonts w:cs="Times New Roman"/>
        </w:rPr>
        <w:t xml:space="preserve"> della CONSOB</w:t>
      </w:r>
      <w:r w:rsidR="00541B98">
        <w:rPr>
          <w:rStyle w:val="Rimandonotaapidipagina"/>
          <w:rFonts w:cs="Times New Roman"/>
          <w:color w:val="262626"/>
        </w:rPr>
        <w:footnoteReference w:id="119"/>
      </w:r>
      <w:r w:rsidR="00154119">
        <w:rPr>
          <w:rFonts w:cs="Times New Roman"/>
          <w:color w:val="262626"/>
        </w:rPr>
        <w:t>.</w:t>
      </w:r>
      <w:r w:rsidR="000B1E80" w:rsidRPr="00154119">
        <w:rPr>
          <w:rFonts w:cs="Times New Roman"/>
        </w:rPr>
        <w:t xml:space="preserve"> L’ufficio insider trading, cosiddetto ufficio IT, ha il compito di contestare l’addebito </w:t>
      </w:r>
      <w:r w:rsidR="008924A9">
        <w:rPr>
          <w:rFonts w:cs="Times New Roman"/>
        </w:rPr>
        <w:t>ai sospettati</w:t>
      </w:r>
      <w:r w:rsidR="000B1E80" w:rsidRPr="00154119">
        <w:rPr>
          <w:rFonts w:cs="Times New Roman"/>
        </w:rPr>
        <w:t xml:space="preserve"> e di curare </w:t>
      </w:r>
      <w:r w:rsidR="000B1E80">
        <w:rPr>
          <w:rFonts w:cs="Times New Roman"/>
        </w:rPr>
        <w:t>l’istruttoria del procedimento sanzionatorio, ove necessario interrogando</w:t>
      </w:r>
      <w:r w:rsidR="00B26CDB">
        <w:rPr>
          <w:rFonts w:cs="Times New Roman"/>
        </w:rPr>
        <w:t xml:space="preserve"> </w:t>
      </w:r>
      <w:r w:rsidR="008924A9">
        <w:rPr>
          <w:rFonts w:cs="Times New Roman"/>
        </w:rPr>
        <w:t>sospettati</w:t>
      </w:r>
      <w:r w:rsidR="00B26CDB">
        <w:rPr>
          <w:rFonts w:cs="Times New Roman"/>
        </w:rPr>
        <w:t xml:space="preserve"> e</w:t>
      </w:r>
      <w:r w:rsidR="000B1E80">
        <w:rPr>
          <w:rFonts w:cs="Times New Roman"/>
        </w:rPr>
        <w:t xml:space="preserve"> testimoni.</w:t>
      </w:r>
      <w:r w:rsidR="00B26CDB">
        <w:rPr>
          <w:rFonts w:cs="Times New Roman"/>
        </w:rPr>
        <w:t xml:space="preserve"> L</w:t>
      </w:r>
      <w:r w:rsidR="008924A9">
        <w:rPr>
          <w:rFonts w:cs="Times New Roman"/>
        </w:rPr>
        <w:t>a</w:t>
      </w:r>
      <w:r w:rsidR="00B26CDB">
        <w:rPr>
          <w:rFonts w:cs="Times New Roman"/>
        </w:rPr>
        <w:t xml:space="preserve"> prima fase si conclude con l’invito </w:t>
      </w:r>
      <w:r w:rsidR="008924A9">
        <w:rPr>
          <w:rFonts w:cs="Times New Roman"/>
        </w:rPr>
        <w:t>ai sospettati</w:t>
      </w:r>
      <w:r w:rsidR="00B26CDB">
        <w:rPr>
          <w:rFonts w:cs="Times New Roman"/>
        </w:rPr>
        <w:t xml:space="preserve"> a presentare le proprie difese, a cui segue l’archiviazione del procedimento o con la trasmissione del fascicolo all’ufficio sanzioni.</w:t>
      </w:r>
    </w:p>
    <w:p w14:paraId="4DA14424" w14:textId="09B2AA72" w:rsidR="00B26CDB" w:rsidRDefault="00B26CDB" w:rsidP="003A63CD">
      <w:pPr>
        <w:spacing w:after="100" w:afterAutospacing="1" w:line="276" w:lineRule="auto"/>
        <w:rPr>
          <w:rFonts w:cs="Times New Roman"/>
        </w:rPr>
      </w:pPr>
      <w:r>
        <w:rPr>
          <w:rFonts w:cs="Times New Roman"/>
        </w:rPr>
        <w:t xml:space="preserve">A sua volta l’ufficio sanzioni richiede </w:t>
      </w:r>
      <w:r w:rsidR="008924A9">
        <w:rPr>
          <w:rFonts w:cs="Times New Roman"/>
        </w:rPr>
        <w:t>ai sospettati</w:t>
      </w:r>
      <w:r>
        <w:rPr>
          <w:rFonts w:cs="Times New Roman"/>
        </w:rPr>
        <w:t xml:space="preserve"> di presentare difese </w:t>
      </w:r>
      <w:r w:rsidR="00A53073">
        <w:rPr>
          <w:rFonts w:cs="Times New Roman"/>
        </w:rPr>
        <w:t xml:space="preserve">scritte nel termine di trenta giorni e deve comunicare </w:t>
      </w:r>
      <w:r w:rsidR="008924A9">
        <w:rPr>
          <w:rFonts w:cs="Times New Roman"/>
        </w:rPr>
        <w:t>ad essi</w:t>
      </w:r>
      <w:r w:rsidR="00A53073">
        <w:rPr>
          <w:rFonts w:cs="Times New Roman"/>
        </w:rPr>
        <w:t xml:space="preserve"> la propria relazione e le conclusioni</w:t>
      </w:r>
      <w:r w:rsidR="00047219">
        <w:rPr>
          <w:rFonts w:cs="Times New Roman"/>
        </w:rPr>
        <w:t>,</w:t>
      </w:r>
      <w:r w:rsidR="00A53073">
        <w:rPr>
          <w:rFonts w:cs="Times New Roman"/>
        </w:rPr>
        <w:t xml:space="preserve"> prima di presentarlo alla </w:t>
      </w:r>
      <w:r w:rsidR="0084451E">
        <w:rPr>
          <w:rFonts w:cs="Times New Roman"/>
        </w:rPr>
        <w:t>c</w:t>
      </w:r>
      <w:r w:rsidR="00A53073">
        <w:rPr>
          <w:rFonts w:cs="Times New Roman"/>
        </w:rPr>
        <w:t xml:space="preserve">ommissione, la quale potrà adottare un eventuale provvedimento sanzionatorio in base ad essa. Tale comunicazione </w:t>
      </w:r>
      <w:r w:rsidR="007E333E">
        <w:rPr>
          <w:rFonts w:cs="Times New Roman"/>
        </w:rPr>
        <w:t>ai sospettati</w:t>
      </w:r>
      <w:r w:rsidR="00A53073">
        <w:rPr>
          <w:rFonts w:cs="Times New Roman"/>
        </w:rPr>
        <w:t xml:space="preserve"> non è stata però effettuata dall’ufficio sanzioni della CONSOB nel procedimento in esame</w:t>
      </w:r>
      <w:r w:rsidR="00804577">
        <w:rPr>
          <w:rFonts w:cs="Times New Roman"/>
        </w:rPr>
        <w:t xml:space="preserve"> e ciò è stato contestato avanti alla Corte EDU</w:t>
      </w:r>
      <w:r w:rsidR="00A53073">
        <w:rPr>
          <w:rFonts w:cs="Times New Roman"/>
        </w:rPr>
        <w:t>.</w:t>
      </w:r>
    </w:p>
    <w:p w14:paraId="236A9309" w14:textId="26419096" w:rsidR="008351EF" w:rsidRDefault="008351EF" w:rsidP="003A63CD">
      <w:pPr>
        <w:spacing w:after="100" w:afterAutospacing="1" w:line="276" w:lineRule="auto"/>
        <w:rPr>
          <w:rFonts w:cs="Times New Roman"/>
        </w:rPr>
      </w:pPr>
      <w:r>
        <w:rPr>
          <w:rFonts w:cs="Times New Roman"/>
        </w:rPr>
        <w:t xml:space="preserve">Un’altra obiezione dei ricorrenti consiste </w:t>
      </w:r>
      <w:r w:rsidR="0084451E">
        <w:rPr>
          <w:rFonts w:cs="Times New Roman"/>
        </w:rPr>
        <w:t>nell</w:t>
      </w:r>
      <w:r w:rsidR="00912EF5">
        <w:rPr>
          <w:rFonts w:cs="Times New Roman"/>
        </w:rPr>
        <w:t>’</w:t>
      </w:r>
      <w:r w:rsidR="0084451E">
        <w:rPr>
          <w:rFonts w:cs="Times New Roman"/>
        </w:rPr>
        <w:t>a</w:t>
      </w:r>
      <w:r w:rsidR="00912EF5">
        <w:rPr>
          <w:rFonts w:cs="Times New Roman"/>
        </w:rPr>
        <w:t>ssenza di</w:t>
      </w:r>
      <w:r w:rsidR="0084451E">
        <w:rPr>
          <w:rFonts w:cs="Times New Roman"/>
        </w:rPr>
        <w:t xml:space="preserve"> separazione </w:t>
      </w:r>
      <w:r w:rsidR="00912EF5">
        <w:rPr>
          <w:rFonts w:cs="Times New Roman"/>
        </w:rPr>
        <w:t>tra tali uffici e la commissione, che sono</w:t>
      </w:r>
      <w:r w:rsidR="0084451E">
        <w:rPr>
          <w:rFonts w:cs="Times New Roman"/>
        </w:rPr>
        <w:t xml:space="preserve"> parte del</w:t>
      </w:r>
      <w:r w:rsidR="00912EF5">
        <w:rPr>
          <w:rFonts w:cs="Times New Roman"/>
        </w:rPr>
        <w:t xml:space="preserve"> medesimo organo amministrativo, </w:t>
      </w:r>
      <w:r w:rsidR="0084451E">
        <w:rPr>
          <w:rFonts w:cs="Times New Roman"/>
        </w:rPr>
        <w:t xml:space="preserve">la CONSOB. </w:t>
      </w:r>
      <w:r w:rsidR="00912EF5">
        <w:rPr>
          <w:rFonts w:cs="Times New Roman"/>
        </w:rPr>
        <w:t xml:space="preserve">La conseguente </w:t>
      </w:r>
      <w:r w:rsidR="0084451E">
        <w:rPr>
          <w:rFonts w:cs="Times New Roman"/>
        </w:rPr>
        <w:t xml:space="preserve">impossibilità di </w:t>
      </w:r>
      <w:r w:rsidR="00912EF5">
        <w:rPr>
          <w:rFonts w:cs="Times New Roman"/>
        </w:rPr>
        <w:t>distinguere</w:t>
      </w:r>
      <w:r w:rsidR="0084451E">
        <w:rPr>
          <w:rFonts w:cs="Times New Roman"/>
        </w:rPr>
        <w:t xml:space="preserve"> chiaramente la fase istruttoria da quella decisoria</w:t>
      </w:r>
      <w:r w:rsidR="00912EF5">
        <w:rPr>
          <w:rFonts w:cs="Times New Roman"/>
        </w:rPr>
        <w:t xml:space="preserve"> e la commistione di ruoli, con il presidente della CONSOB dotato di poteri di intervento in ogni fase del procedimento, possono pregiudicare la qualificazione della CONSOB quale “tribunale indipendente ed imparziale” a norma dell’art. 6, primo comma, della Convenzione</w:t>
      </w:r>
      <w:r w:rsidR="004D6212">
        <w:rPr>
          <w:rStyle w:val="Rimandonotaapidipagina"/>
          <w:rFonts w:cs="Times New Roman"/>
        </w:rPr>
        <w:footnoteReference w:id="120"/>
      </w:r>
      <w:r w:rsidR="00912EF5">
        <w:rPr>
          <w:rFonts w:cs="Times New Roman"/>
        </w:rPr>
        <w:t>.</w:t>
      </w:r>
    </w:p>
    <w:p w14:paraId="04952CF4" w14:textId="2070DC18" w:rsidR="008D7D2A" w:rsidRDefault="008D7D2A" w:rsidP="003A63CD">
      <w:pPr>
        <w:spacing w:after="100" w:afterAutospacing="1" w:line="276" w:lineRule="auto"/>
        <w:rPr>
          <w:rFonts w:cs="Times New Roman"/>
        </w:rPr>
      </w:pPr>
      <w:r>
        <w:rPr>
          <w:rFonts w:cs="Times New Roman"/>
        </w:rPr>
        <w:t xml:space="preserve">Tale opinione è rafforzata dalla considerazione che si può muovere partendo dal </w:t>
      </w:r>
      <w:r>
        <w:t>principio della separazione dei poteri, che sembra violato nel caso di specie. Infatti la CONSOB ha un ruolo normativo perché può incidere sulla disciplina applicabile direttamente, come nelle prassi legittime, o come componente dell’ESMA (un tempo CESR). Le sono anche attribuiti poteri di indagare, con strumenti per molti versi analoghi a quelli delle procure, e perseguire gli illeciti amministrativi di abuso di mercato. Infine, la CONSOB ha il potere di giudicare sulla loro commissione e di adottare la decisione finale sull’irrogazione delle sanzioni amministrative.</w:t>
      </w:r>
      <w:r>
        <w:rPr>
          <w:rFonts w:cs="Times New Roman"/>
        </w:rPr>
        <w:t xml:space="preserve"> </w:t>
      </w:r>
    </w:p>
    <w:p w14:paraId="2409FFEF" w14:textId="3E111685" w:rsidR="00804577" w:rsidRDefault="004159C3" w:rsidP="003A63CD">
      <w:pPr>
        <w:spacing w:after="100" w:afterAutospacing="1" w:line="276" w:lineRule="auto"/>
        <w:rPr>
          <w:rFonts w:cs="Times New Roman"/>
        </w:rPr>
      </w:pPr>
      <w:r>
        <w:rPr>
          <w:rFonts w:cs="Times New Roman"/>
        </w:rPr>
        <w:t xml:space="preserve">A norma </w:t>
      </w:r>
      <w:r w:rsidR="00374E66">
        <w:rPr>
          <w:rFonts w:cs="Times New Roman"/>
        </w:rPr>
        <w:t xml:space="preserve">dei commi dal quarto all’ottavo </w:t>
      </w:r>
      <w:r>
        <w:rPr>
          <w:rFonts w:cs="Times New Roman"/>
        </w:rPr>
        <w:t>dell’art</w:t>
      </w:r>
      <w:r w:rsidR="00374E66">
        <w:rPr>
          <w:rFonts w:cs="Times New Roman"/>
        </w:rPr>
        <w:t xml:space="preserve">. 187 </w:t>
      </w:r>
      <w:r w:rsidR="00374E66" w:rsidRPr="00374E66">
        <w:rPr>
          <w:rFonts w:cs="Times New Roman"/>
          <w:i/>
        </w:rPr>
        <w:t>septies</w:t>
      </w:r>
      <w:r w:rsidR="00374E66">
        <w:rPr>
          <w:rFonts w:cs="Times New Roman"/>
        </w:rPr>
        <w:t xml:space="preserve"> del T.U.F., co</w:t>
      </w:r>
      <w:r w:rsidR="00BF18EF">
        <w:rPr>
          <w:rFonts w:cs="Times New Roman"/>
        </w:rPr>
        <w:t>ntro il</w:t>
      </w:r>
      <w:r w:rsidR="0084451E">
        <w:rPr>
          <w:rFonts w:cs="Times New Roman"/>
        </w:rPr>
        <w:t xml:space="preserve"> provvedimento adottato dalla c</w:t>
      </w:r>
      <w:r w:rsidR="00804577">
        <w:rPr>
          <w:rFonts w:cs="Times New Roman"/>
        </w:rPr>
        <w:t>ommissio</w:t>
      </w:r>
      <w:r w:rsidR="00C360F1">
        <w:rPr>
          <w:rFonts w:cs="Times New Roman"/>
        </w:rPr>
        <w:t xml:space="preserve">ne può essere </w:t>
      </w:r>
      <w:r w:rsidR="00BF18EF">
        <w:rPr>
          <w:rFonts w:cs="Times New Roman"/>
        </w:rPr>
        <w:t>proposta opposizione</w:t>
      </w:r>
      <w:r w:rsidR="00C360F1">
        <w:rPr>
          <w:rFonts w:cs="Times New Roman"/>
        </w:rPr>
        <w:t xml:space="preserve"> avanti alla Corte d’Appello civile</w:t>
      </w:r>
      <w:r w:rsidR="00661309">
        <w:rPr>
          <w:rFonts w:cs="Times New Roman"/>
        </w:rPr>
        <w:t>, la quale</w:t>
      </w:r>
      <w:r w:rsidR="00BF18EF">
        <w:rPr>
          <w:rFonts w:cs="Times New Roman"/>
        </w:rPr>
        <w:t xml:space="preserve"> segue la procedura di cui all’art. 23 della l. 689 del 1981</w:t>
      </w:r>
      <w:r w:rsidR="00374E66">
        <w:rPr>
          <w:rStyle w:val="Rimandonotaapidipagina"/>
          <w:rFonts w:cs="Times New Roman"/>
        </w:rPr>
        <w:footnoteReference w:id="121"/>
      </w:r>
      <w:r w:rsidR="00BF18EF">
        <w:rPr>
          <w:rFonts w:cs="Times New Roman"/>
        </w:rPr>
        <w:t xml:space="preserve">. Tra i poteri della Corte d’Appello, rientra la facoltà di </w:t>
      </w:r>
      <w:r w:rsidR="00661309">
        <w:rPr>
          <w:rFonts w:cs="Times New Roman"/>
        </w:rPr>
        <w:t>disporre, anche d’ufficio,</w:t>
      </w:r>
      <w:r w:rsidR="00BF18EF">
        <w:rPr>
          <w:rFonts w:cs="Times New Roman"/>
        </w:rPr>
        <w:t xml:space="preserve"> ulteriori atti istruttori.</w:t>
      </w:r>
      <w:r w:rsidR="008351EF">
        <w:rPr>
          <w:rFonts w:cs="Times New Roman"/>
        </w:rPr>
        <w:t xml:space="preserve"> In tale sede però i ricorrenti alla Corte EDU lamentano di non aver potuto instaurare un pieno contraddittorio</w:t>
      </w:r>
      <w:r w:rsidR="000110BA">
        <w:rPr>
          <w:rFonts w:cs="Times New Roman"/>
        </w:rPr>
        <w:t xml:space="preserve"> e</w:t>
      </w:r>
      <w:r w:rsidR="008351EF">
        <w:rPr>
          <w:rFonts w:cs="Times New Roman"/>
        </w:rPr>
        <w:t xml:space="preserve"> che no</w:t>
      </w:r>
      <w:r w:rsidR="00F114DB">
        <w:rPr>
          <w:rFonts w:cs="Times New Roman"/>
        </w:rPr>
        <w:t>n vi sia</w:t>
      </w:r>
      <w:r w:rsidR="000110BA">
        <w:rPr>
          <w:rFonts w:cs="Times New Roman"/>
        </w:rPr>
        <w:t xml:space="preserve"> stata pubblica udienza</w:t>
      </w:r>
      <w:r w:rsidR="00F114DB">
        <w:rPr>
          <w:rFonts w:cs="Times New Roman"/>
        </w:rPr>
        <w:t>.</w:t>
      </w:r>
    </w:p>
    <w:p w14:paraId="4211211D" w14:textId="77777777" w:rsidR="002A457B" w:rsidRDefault="00792C33" w:rsidP="003A63CD">
      <w:pPr>
        <w:spacing w:after="100" w:afterAutospacing="1" w:line="276" w:lineRule="auto"/>
        <w:rPr>
          <w:rFonts w:cs="Times New Roman"/>
        </w:rPr>
      </w:pPr>
      <w:r>
        <w:rPr>
          <w:rFonts w:cs="Times New Roman"/>
        </w:rPr>
        <w:t>L</w:t>
      </w:r>
      <w:r w:rsidR="00F114DB">
        <w:rPr>
          <w:rFonts w:cs="Times New Roman"/>
        </w:rPr>
        <w:t xml:space="preserve">a Corte ha accolto </w:t>
      </w:r>
      <w:r w:rsidR="000110BA">
        <w:rPr>
          <w:rFonts w:cs="Times New Roman"/>
        </w:rPr>
        <w:t>soltanto la contestazione relativa all’assenza di imparzialità della CONSOB, a cui però la Corte non ha voluto far seguire alcun risarcimento a favore dei ricorrenti, e quella della mancanza di un’udienza pubblica, fatto peraltro contestato dal Governo italiano e liquidato in via equitativa dalla Corte.</w:t>
      </w:r>
      <w:r>
        <w:rPr>
          <w:rFonts w:cs="Times New Roman"/>
        </w:rPr>
        <w:t xml:space="preserve"> Infatti le altre criticità procedurali sarebbero </w:t>
      </w:r>
      <w:r w:rsidR="008B69D1">
        <w:rPr>
          <w:rFonts w:cs="Times New Roman"/>
        </w:rPr>
        <w:t xml:space="preserve">compensate dalla possibilità offerta dalla Corte d’Appello, organo avente piena giurisdizione, di riformare qualsiasi punto </w:t>
      </w:r>
      <w:r w:rsidR="008B69D1" w:rsidRPr="002A457B">
        <w:rPr>
          <w:rFonts w:cs="Times New Roman"/>
        </w:rPr>
        <w:t xml:space="preserve">della decisione della CONSOB impugnata. </w:t>
      </w:r>
    </w:p>
    <w:p w14:paraId="0770549B" w14:textId="335CD70C" w:rsidR="00F114DB" w:rsidRDefault="008B69D1" w:rsidP="003A63CD">
      <w:pPr>
        <w:spacing w:after="100" w:afterAutospacing="1" w:line="276" w:lineRule="auto"/>
        <w:rPr>
          <w:rFonts w:cs="Times New Roman"/>
        </w:rPr>
      </w:pPr>
      <w:r w:rsidRPr="002A457B">
        <w:rPr>
          <w:rFonts w:cs="Times New Roman"/>
        </w:rPr>
        <w:t>Su</w:t>
      </w:r>
      <w:r w:rsidR="002A457B">
        <w:rPr>
          <w:rFonts w:cs="Times New Roman"/>
        </w:rPr>
        <w:t xml:space="preserve"> tale</w:t>
      </w:r>
      <w:r w:rsidRPr="002A457B">
        <w:rPr>
          <w:rFonts w:cs="Times New Roman"/>
        </w:rPr>
        <w:t xml:space="preserve"> punto la Corte espressamente dichiara</w:t>
      </w:r>
      <w:r w:rsidR="00FC6C72" w:rsidRPr="002A457B">
        <w:rPr>
          <w:rFonts w:cs="Times New Roman"/>
        </w:rPr>
        <w:t xml:space="preserve"> che</w:t>
      </w:r>
      <w:r w:rsidRPr="002A457B">
        <w:rPr>
          <w:rFonts w:cs="Times New Roman"/>
        </w:rPr>
        <w:t xml:space="preserve"> </w:t>
      </w:r>
      <w:r w:rsidRPr="002042EC">
        <w:rPr>
          <w:rFonts w:cs="Times New Roman"/>
          <w:i/>
        </w:rPr>
        <w:t>«</w:t>
      </w:r>
      <w:r w:rsidR="00FC6C72" w:rsidRPr="002042EC">
        <w:rPr>
          <w:rFonts w:cs="Times New Roman"/>
          <w:i/>
          <w:color w:val="262626"/>
        </w:rPr>
        <w:t xml:space="preserve">il rispetto dell'articolo 6 della Convenzione </w:t>
      </w:r>
      <w:r w:rsidR="002A457B" w:rsidRPr="002042EC">
        <w:rPr>
          <w:rFonts w:cs="Times New Roman"/>
          <w:i/>
          <w:color w:val="262626"/>
        </w:rPr>
        <w:t>[presuppone]</w:t>
      </w:r>
      <w:r w:rsidR="00FC6C72" w:rsidRPr="002042EC">
        <w:rPr>
          <w:rFonts w:cs="Times New Roman"/>
          <w:i/>
          <w:color w:val="262626"/>
        </w:rPr>
        <w:t xml:space="preserve"> che la decisione di un'autorità amministrativa che non soddisfi essa stessa le condizioni dell'articolo 6 sia successivamente sottoposta al controllo di un organo giudiziario dotato di piena giurisdizione</w:t>
      </w:r>
      <w:r w:rsidRPr="002042EC">
        <w:rPr>
          <w:rFonts w:cs="Times New Roman"/>
          <w:i/>
        </w:rPr>
        <w:t>»</w:t>
      </w:r>
      <w:r w:rsidR="002042EC">
        <w:rPr>
          <w:rStyle w:val="Rimandonotaapidipagina"/>
          <w:rFonts w:cs="Times New Roman"/>
        </w:rPr>
        <w:footnoteReference w:id="122"/>
      </w:r>
      <w:r w:rsidRPr="002A457B">
        <w:rPr>
          <w:rFonts w:cs="Times New Roman"/>
        </w:rPr>
        <w:t>.</w:t>
      </w:r>
      <w:r w:rsidR="002A457B">
        <w:rPr>
          <w:rFonts w:cs="Times New Roman"/>
        </w:rPr>
        <w:t xml:space="preserve"> Si deve</w:t>
      </w:r>
      <w:r w:rsidR="002042EC">
        <w:rPr>
          <w:rFonts w:cs="Times New Roman"/>
        </w:rPr>
        <w:t xml:space="preserve"> però notare </w:t>
      </w:r>
      <w:r w:rsidR="002A457B">
        <w:rPr>
          <w:rFonts w:cs="Times New Roman"/>
        </w:rPr>
        <w:t>come</w:t>
      </w:r>
      <w:r w:rsidR="002042EC">
        <w:rPr>
          <w:rFonts w:cs="Times New Roman"/>
        </w:rPr>
        <w:t xml:space="preserve"> tale posizione sia già stata avversata da</w:t>
      </w:r>
      <w:r w:rsidR="002A457B">
        <w:rPr>
          <w:rFonts w:cs="Times New Roman"/>
        </w:rPr>
        <w:t xml:space="preserve"> alcune obiezioni </w:t>
      </w:r>
      <w:r w:rsidR="002042EC">
        <w:rPr>
          <w:rFonts w:cs="Times New Roman"/>
        </w:rPr>
        <w:t>proposte</w:t>
      </w:r>
      <w:r w:rsidR="002A457B">
        <w:rPr>
          <w:rFonts w:cs="Times New Roman"/>
        </w:rPr>
        <w:t xml:space="preserve"> nell’opinione </w:t>
      </w:r>
      <w:r w:rsidR="00047219">
        <w:rPr>
          <w:rFonts w:cs="Times New Roman"/>
        </w:rPr>
        <w:t>dei giudici dissenzienti</w:t>
      </w:r>
      <w:r w:rsidR="00EC5C3C">
        <w:rPr>
          <w:rFonts w:cs="Times New Roman"/>
        </w:rPr>
        <w:t xml:space="preserve">, </w:t>
      </w:r>
      <w:r w:rsidR="00047219">
        <w:rPr>
          <w:rFonts w:cs="Times New Roman"/>
        </w:rPr>
        <w:t>i quali</w:t>
      </w:r>
      <w:r w:rsidR="00EC5C3C">
        <w:rPr>
          <w:rFonts w:cs="Times New Roman"/>
        </w:rPr>
        <w:t xml:space="preserve"> avrebbero voluto essere molto più intransigenti con il doppio binario italiano.</w:t>
      </w:r>
      <w:r w:rsidR="007B2D8E">
        <w:rPr>
          <w:rFonts w:cs="Times New Roman"/>
        </w:rPr>
        <w:t xml:space="preserve"> Infatti il procedimento della CONSOB</w:t>
      </w:r>
      <w:r w:rsidR="00AE16D7">
        <w:rPr>
          <w:rFonts w:cs="Times New Roman"/>
        </w:rPr>
        <w:t>, in cui spesso il sospettato è obbligato a collaborare con i suoi accusatori,</w:t>
      </w:r>
      <w:r w:rsidR="007B2D8E">
        <w:rPr>
          <w:rFonts w:cs="Times New Roman"/>
        </w:rPr>
        <w:t xml:space="preserve"> appare avere un carattere inquisitorio, non egualitario e sbrigativo</w:t>
      </w:r>
      <w:r w:rsidR="00AE16D7">
        <w:rPr>
          <w:rFonts w:cs="Times New Roman"/>
        </w:rPr>
        <w:t>.</w:t>
      </w:r>
      <w:r w:rsidR="007B2D8E">
        <w:rPr>
          <w:rFonts w:cs="Times New Roman"/>
        </w:rPr>
        <w:t xml:space="preserve"> </w:t>
      </w:r>
    </w:p>
    <w:p w14:paraId="567160F9" w14:textId="556C9675" w:rsidR="00AE16D7" w:rsidRDefault="00FE1A16" w:rsidP="003A63CD">
      <w:pPr>
        <w:spacing w:after="100" w:afterAutospacing="1" w:line="276" w:lineRule="auto"/>
        <w:rPr>
          <w:rFonts w:cs="Times New Roman"/>
        </w:rPr>
      </w:pPr>
      <w:r>
        <w:rPr>
          <w:rFonts w:cs="Times New Roman"/>
        </w:rPr>
        <w:t xml:space="preserve">In particolare </w:t>
      </w:r>
      <w:r w:rsidR="00CC361B">
        <w:rPr>
          <w:rFonts w:cs="Times New Roman"/>
        </w:rPr>
        <w:t xml:space="preserve">è </w:t>
      </w:r>
      <w:r w:rsidR="00644B18">
        <w:rPr>
          <w:rFonts w:cs="Times New Roman"/>
        </w:rPr>
        <w:t>criticabile</w:t>
      </w:r>
      <w:r>
        <w:rPr>
          <w:rFonts w:cs="Times New Roman"/>
        </w:rPr>
        <w:t xml:space="preserve"> la circostanza che la Corte d’Appello, sebbene </w:t>
      </w:r>
      <w:r w:rsidR="00CC361B">
        <w:rPr>
          <w:rFonts w:cs="Times New Roman"/>
        </w:rPr>
        <w:t xml:space="preserve">avesse il potere di ripetere </w:t>
      </w:r>
      <w:r w:rsidR="00CC361B" w:rsidRPr="00F27808">
        <w:rPr>
          <w:rFonts w:cs="Times New Roman"/>
          <w:i/>
        </w:rPr>
        <w:t>ex novo</w:t>
      </w:r>
      <w:r w:rsidR="00CC361B">
        <w:rPr>
          <w:rFonts w:cs="Times New Roman"/>
        </w:rPr>
        <w:t xml:space="preserve"> l’istr</w:t>
      </w:r>
      <w:r w:rsidR="00F27808">
        <w:rPr>
          <w:rFonts w:cs="Times New Roman"/>
        </w:rPr>
        <w:t xml:space="preserve">uttoria della CONSOB, si sia </w:t>
      </w:r>
      <w:r w:rsidR="00CC361B">
        <w:rPr>
          <w:rFonts w:cs="Times New Roman"/>
        </w:rPr>
        <w:t xml:space="preserve">limitata a decidere la controversia sulla base dei soli elementi acquisiti in segreto dalla CONSOB medesima. </w:t>
      </w:r>
      <w:r w:rsidR="00F27808">
        <w:rPr>
          <w:rFonts w:cs="Times New Roman"/>
        </w:rPr>
        <w:t xml:space="preserve">Una tale pratica </w:t>
      </w:r>
      <w:r w:rsidR="007C72B6">
        <w:rPr>
          <w:rFonts w:cs="Times New Roman"/>
        </w:rPr>
        <w:t>mette in luce la tendenza di</w:t>
      </w:r>
      <w:r w:rsidR="00F27808">
        <w:rPr>
          <w:rFonts w:cs="Times New Roman"/>
        </w:rPr>
        <w:t xml:space="preserve"> attribuire al provvedimento amministrativo</w:t>
      </w:r>
      <w:r w:rsidR="007C72B6">
        <w:rPr>
          <w:rFonts w:cs="Times New Roman"/>
        </w:rPr>
        <w:t>,</w:t>
      </w:r>
      <w:r w:rsidR="00F27808">
        <w:rPr>
          <w:rFonts w:cs="Times New Roman"/>
        </w:rPr>
        <w:t xml:space="preserve"> ed all’istruttoria che ne è il presupposto</w:t>
      </w:r>
      <w:r w:rsidR="007C72B6">
        <w:rPr>
          <w:rFonts w:cs="Times New Roman"/>
        </w:rPr>
        <w:t>,</w:t>
      </w:r>
      <w:r w:rsidR="00F27808">
        <w:rPr>
          <w:rFonts w:cs="Times New Roman"/>
        </w:rPr>
        <w:t xml:space="preserve"> una presunzione di legittimità</w:t>
      </w:r>
      <w:r w:rsidR="00A30E73">
        <w:rPr>
          <w:rFonts w:cs="Times New Roman"/>
        </w:rPr>
        <w:t>.</w:t>
      </w:r>
      <w:r w:rsidR="00F27808">
        <w:rPr>
          <w:rFonts w:cs="Times New Roman"/>
        </w:rPr>
        <w:t xml:space="preserve"> </w:t>
      </w:r>
    </w:p>
    <w:p w14:paraId="6AD44D46" w14:textId="59441181" w:rsidR="00FE1A16" w:rsidRDefault="00AE16D7" w:rsidP="003A63CD">
      <w:pPr>
        <w:spacing w:after="100" w:afterAutospacing="1" w:line="276" w:lineRule="auto"/>
        <w:rPr>
          <w:rFonts w:cs="Times New Roman"/>
        </w:rPr>
      </w:pPr>
      <w:r>
        <w:rPr>
          <w:rFonts w:cs="Times New Roman"/>
        </w:rPr>
        <w:t>C</w:t>
      </w:r>
      <w:r w:rsidR="00F27808">
        <w:rPr>
          <w:rFonts w:cs="Times New Roman"/>
        </w:rPr>
        <w:t xml:space="preserve">onseguenza </w:t>
      </w:r>
      <w:r>
        <w:rPr>
          <w:rFonts w:cs="Times New Roman"/>
        </w:rPr>
        <w:t>è</w:t>
      </w:r>
      <w:r w:rsidR="00A30E73">
        <w:rPr>
          <w:rFonts w:cs="Times New Roman"/>
        </w:rPr>
        <w:t xml:space="preserve"> </w:t>
      </w:r>
      <w:r w:rsidR="00F27808">
        <w:rPr>
          <w:rFonts w:cs="Times New Roman"/>
        </w:rPr>
        <w:t>che</w:t>
      </w:r>
      <w:r w:rsidR="00047219">
        <w:rPr>
          <w:rFonts w:cs="Times New Roman"/>
        </w:rPr>
        <w:t>, nella pratica,</w:t>
      </w:r>
      <w:r w:rsidR="00F27808">
        <w:rPr>
          <w:rFonts w:cs="Times New Roman"/>
        </w:rPr>
        <w:t xml:space="preserve"> la Corte d’Appello</w:t>
      </w:r>
      <w:r w:rsidR="00A30E73">
        <w:rPr>
          <w:rFonts w:cs="Times New Roman"/>
        </w:rPr>
        <w:t xml:space="preserve"> </w:t>
      </w:r>
      <w:r>
        <w:rPr>
          <w:rFonts w:cs="Times New Roman"/>
        </w:rPr>
        <w:t>limita</w:t>
      </w:r>
      <w:r w:rsidR="00F27808">
        <w:rPr>
          <w:rFonts w:cs="Times New Roman"/>
        </w:rPr>
        <w:t xml:space="preserve"> il proprio sindacato ad un</w:t>
      </w:r>
      <w:r w:rsidR="00A30E73">
        <w:rPr>
          <w:rFonts w:cs="Times New Roman"/>
        </w:rPr>
        <w:t xml:space="preserve"> mero</w:t>
      </w:r>
      <w:r w:rsidR="00F27808">
        <w:rPr>
          <w:rFonts w:cs="Times New Roman"/>
        </w:rPr>
        <w:t xml:space="preserve"> giudizio</w:t>
      </w:r>
      <w:r w:rsidR="00A30E73">
        <w:rPr>
          <w:rFonts w:cs="Times New Roman"/>
        </w:rPr>
        <w:t xml:space="preserve"> documentale</w:t>
      </w:r>
      <w:r w:rsidR="00F27808">
        <w:rPr>
          <w:rFonts w:cs="Times New Roman"/>
        </w:rPr>
        <w:t xml:space="preserve"> </w:t>
      </w:r>
      <w:r w:rsidR="00A30E73">
        <w:rPr>
          <w:rFonts w:cs="Times New Roman"/>
        </w:rPr>
        <w:t>sulla coerenza logica del provvedimento</w:t>
      </w:r>
      <w:r w:rsidR="0001313D">
        <w:rPr>
          <w:rFonts w:cs="Times New Roman"/>
        </w:rPr>
        <w:t xml:space="preserve"> e la proporzionalità della sanzione</w:t>
      </w:r>
      <w:r w:rsidR="00047219">
        <w:rPr>
          <w:rFonts w:cs="Times New Roman"/>
        </w:rPr>
        <w:t xml:space="preserve"> ed evita </w:t>
      </w:r>
      <w:r w:rsidR="00A30E73">
        <w:rPr>
          <w:rFonts w:cs="Times New Roman"/>
        </w:rPr>
        <w:t>invece un suo esame approfondito.</w:t>
      </w:r>
      <w:r w:rsidR="0001313D">
        <w:rPr>
          <w:rFonts w:cs="Times New Roman"/>
        </w:rPr>
        <w:t xml:space="preserve"> Vero è che la Corte d’Appello astrattamente ha poteri di merito con riferimento alle sanzioni amministrative, ma in concreto essa si asterrà dal loro effettivo esercizio.</w:t>
      </w:r>
      <w:r w:rsidR="007C72B6">
        <w:rPr>
          <w:rFonts w:cs="Times New Roman"/>
        </w:rPr>
        <w:t xml:space="preserve"> Segno plastico di ciò è </w:t>
      </w:r>
      <w:r w:rsidR="0001313D">
        <w:rPr>
          <w:rFonts w:cs="Times New Roman"/>
        </w:rPr>
        <w:t>la trascrizione quasi integrale nella sentenza del caso FIAT</w:t>
      </w:r>
      <w:r w:rsidR="007C72B6">
        <w:rPr>
          <w:rFonts w:cs="Times New Roman"/>
        </w:rPr>
        <w:t xml:space="preserve"> </w:t>
      </w:r>
      <w:r w:rsidR="0001313D">
        <w:rPr>
          <w:rFonts w:cs="Times New Roman"/>
        </w:rPr>
        <w:t>del</w:t>
      </w:r>
      <w:r w:rsidR="007C72B6">
        <w:rPr>
          <w:rFonts w:cs="Times New Roman"/>
        </w:rPr>
        <w:t>le deposizioni dei dirigenti della CONSOB, che non sono stati sentiti in contraddittor</w:t>
      </w:r>
      <w:r w:rsidR="0001313D">
        <w:rPr>
          <w:rFonts w:cs="Times New Roman"/>
        </w:rPr>
        <w:t>io e su cui si basa la condanna</w:t>
      </w:r>
      <w:r w:rsidR="007C72B6">
        <w:rPr>
          <w:rFonts w:cs="Times New Roman"/>
        </w:rPr>
        <w:t>.</w:t>
      </w:r>
    </w:p>
    <w:p w14:paraId="7D8D7E81" w14:textId="23605DCD" w:rsidR="00EF7220" w:rsidRPr="00C02967" w:rsidRDefault="00377F6E" w:rsidP="003A63CD">
      <w:pPr>
        <w:spacing w:after="100" w:afterAutospacing="1" w:line="276" w:lineRule="auto"/>
        <w:rPr>
          <w:rFonts w:cs="Times New Roman"/>
        </w:rPr>
      </w:pPr>
      <w:r>
        <w:rPr>
          <w:rFonts w:cs="Times New Roman"/>
        </w:rPr>
        <w:t>Il manc</w:t>
      </w:r>
      <w:r w:rsidRPr="00C02967">
        <w:rPr>
          <w:rFonts w:cs="Times New Roman"/>
        </w:rPr>
        <w:t>ato esercizio della giurisdizione</w:t>
      </w:r>
      <w:r w:rsidR="005C2749">
        <w:rPr>
          <w:rFonts w:cs="Times New Roman"/>
        </w:rPr>
        <w:t xml:space="preserve"> nella sua interezza</w:t>
      </w:r>
      <w:r w:rsidRPr="00C02967">
        <w:rPr>
          <w:rFonts w:cs="Times New Roman"/>
        </w:rPr>
        <w:t xml:space="preserve"> da parte della Corte d’Appello è foriero di esiti nefasti</w:t>
      </w:r>
      <w:r w:rsidR="00964E33">
        <w:rPr>
          <w:rFonts w:cs="Times New Roman"/>
        </w:rPr>
        <w:t xml:space="preserve">, </w:t>
      </w:r>
      <w:r w:rsidR="005C2749">
        <w:rPr>
          <w:rFonts w:cs="Times New Roman"/>
        </w:rPr>
        <w:t xml:space="preserve">resi ancor più evidenti </w:t>
      </w:r>
      <w:r w:rsidR="00964E33">
        <w:rPr>
          <w:rFonts w:cs="Times New Roman"/>
        </w:rPr>
        <w:t>nel caso</w:t>
      </w:r>
      <w:r w:rsidR="005C2749">
        <w:rPr>
          <w:rFonts w:cs="Times New Roman"/>
        </w:rPr>
        <w:t xml:space="preserve"> FIAT </w:t>
      </w:r>
      <w:r w:rsidR="00904798">
        <w:rPr>
          <w:rFonts w:cs="Times New Roman"/>
        </w:rPr>
        <w:t>dal fatto che vi fossero</w:t>
      </w:r>
      <w:r w:rsidR="00047219">
        <w:rPr>
          <w:rFonts w:cs="Times New Roman"/>
        </w:rPr>
        <w:t xml:space="preserve"> stati</w:t>
      </w:r>
      <w:r w:rsidR="00861ACD">
        <w:rPr>
          <w:rFonts w:cs="Times New Roman"/>
        </w:rPr>
        <w:t xml:space="preserve"> contatti con la CONSOB </w:t>
      </w:r>
      <w:r w:rsidR="00904798">
        <w:rPr>
          <w:rFonts w:cs="Times New Roman"/>
        </w:rPr>
        <w:t>precedentemente al</w:t>
      </w:r>
      <w:r w:rsidR="00861ACD">
        <w:rPr>
          <w:rFonts w:cs="Times New Roman"/>
        </w:rPr>
        <w:t>la commissione dell’il</w:t>
      </w:r>
      <w:r w:rsidR="00404383">
        <w:rPr>
          <w:rFonts w:cs="Times New Roman"/>
        </w:rPr>
        <w:t>l</w:t>
      </w:r>
      <w:r w:rsidR="00861ACD">
        <w:rPr>
          <w:rFonts w:cs="Times New Roman"/>
        </w:rPr>
        <w:t>ecito</w:t>
      </w:r>
      <w:r w:rsidRPr="00C02967">
        <w:rPr>
          <w:rFonts w:cs="Times New Roman"/>
        </w:rPr>
        <w:t xml:space="preserve">. </w:t>
      </w:r>
      <w:r w:rsidR="008C09DF" w:rsidRPr="00C02967">
        <w:rPr>
          <w:rFonts w:cs="Times New Roman"/>
          <w:color w:val="262626"/>
        </w:rPr>
        <w:t xml:space="preserve">Tanto che i giudici </w:t>
      </w:r>
      <w:r w:rsidR="00964E33">
        <w:rPr>
          <w:rFonts w:cs="Times New Roman"/>
          <w:color w:val="262626"/>
        </w:rPr>
        <w:t xml:space="preserve">della Corte EDU </w:t>
      </w:r>
      <w:r w:rsidR="008C09DF" w:rsidRPr="00C02967">
        <w:rPr>
          <w:rFonts w:cs="Times New Roman"/>
          <w:color w:val="262626"/>
        </w:rPr>
        <w:t xml:space="preserve">dissenzienti sollevano </w:t>
      </w:r>
      <w:r w:rsidR="00861ACD">
        <w:rPr>
          <w:rFonts w:cs="Times New Roman"/>
          <w:color w:val="262626"/>
        </w:rPr>
        <w:t>il</w:t>
      </w:r>
      <w:r w:rsidR="008C09DF" w:rsidRPr="00C02967">
        <w:rPr>
          <w:rFonts w:cs="Times New Roman"/>
          <w:color w:val="262626"/>
        </w:rPr>
        <w:t xml:space="preserve"> ragionevole dubbio che </w:t>
      </w:r>
      <w:r w:rsidR="008C09DF" w:rsidRPr="00E61561">
        <w:rPr>
          <w:rFonts w:cs="Times New Roman"/>
          <w:i/>
          <w:color w:val="262626"/>
        </w:rPr>
        <w:t>«</w:t>
      </w:r>
      <w:r w:rsidR="00EF7220" w:rsidRPr="00E61561">
        <w:rPr>
          <w:rFonts w:cs="Times New Roman"/>
          <w:i/>
          <w:color w:val="262626"/>
        </w:rPr>
        <w:t>la CONSOB fosse a conoscenza della soluzione giuridica elaborata dal sig. Stevens e non avesse ritenuto necessario renderla pubblica</w:t>
      </w:r>
      <w:r w:rsidR="00AA68C0" w:rsidRPr="00E61561">
        <w:rPr>
          <w:rFonts w:cs="Times New Roman"/>
          <w:i/>
          <w:color w:val="262626"/>
        </w:rPr>
        <w:t>»</w:t>
      </w:r>
      <w:r w:rsidR="00E61561">
        <w:rPr>
          <w:rStyle w:val="Rimandonotaapidipagina"/>
          <w:rFonts w:cs="Times New Roman"/>
          <w:color w:val="262626"/>
        </w:rPr>
        <w:footnoteReference w:id="123"/>
      </w:r>
      <w:r w:rsidR="0099416E">
        <w:rPr>
          <w:rFonts w:cs="Times New Roman"/>
          <w:color w:val="262626"/>
        </w:rPr>
        <w:t xml:space="preserve">. </w:t>
      </w:r>
      <w:r w:rsidR="00904798">
        <w:rPr>
          <w:rFonts w:cs="Times New Roman"/>
          <w:color w:val="262626"/>
        </w:rPr>
        <w:t>Sorge così il legittimo sospetto</w:t>
      </w:r>
      <w:r w:rsidR="0099416E">
        <w:rPr>
          <w:rFonts w:cs="Times New Roman"/>
          <w:color w:val="262626"/>
        </w:rPr>
        <w:t xml:space="preserve"> che la CONSOB avesse</w:t>
      </w:r>
      <w:r w:rsidR="00EF7220" w:rsidRPr="00C02967">
        <w:rPr>
          <w:rFonts w:cs="Times New Roman"/>
          <w:color w:val="262626"/>
        </w:rPr>
        <w:t xml:space="preserve"> </w:t>
      </w:r>
      <w:r w:rsidR="0099416E" w:rsidRPr="00E61561">
        <w:rPr>
          <w:rFonts w:cs="Times New Roman"/>
          <w:i/>
          <w:color w:val="262626"/>
        </w:rPr>
        <w:t>«</w:t>
      </w:r>
      <w:r w:rsidR="00EF7220" w:rsidRPr="00E61561">
        <w:rPr>
          <w:rFonts w:cs="Times New Roman"/>
          <w:i/>
          <w:color w:val="262626"/>
        </w:rPr>
        <w:t xml:space="preserve">creato le circostanze per la commissione dello stesso illecito e che in tal modo la commissione </w:t>
      </w:r>
      <w:r w:rsidR="0099416E" w:rsidRPr="00E61561">
        <w:rPr>
          <w:rFonts w:cs="Times New Roman"/>
          <w:i/>
          <w:color w:val="262626"/>
        </w:rPr>
        <w:t>[avesse]</w:t>
      </w:r>
      <w:r w:rsidR="00EF7220" w:rsidRPr="00E61561">
        <w:rPr>
          <w:rFonts w:cs="Times New Roman"/>
          <w:i/>
          <w:color w:val="262626"/>
        </w:rPr>
        <w:t xml:space="preserve"> teso una trappola ai ricorrenti ed in seguito li </w:t>
      </w:r>
      <w:r w:rsidR="0099416E" w:rsidRPr="00E61561">
        <w:rPr>
          <w:rFonts w:cs="Times New Roman"/>
          <w:i/>
          <w:color w:val="262626"/>
        </w:rPr>
        <w:t>[avesse]</w:t>
      </w:r>
      <w:r w:rsidR="00EF7220" w:rsidRPr="00E61561">
        <w:rPr>
          <w:rFonts w:cs="Times New Roman"/>
          <w:i/>
          <w:color w:val="262626"/>
        </w:rPr>
        <w:t xml:space="preserve"> sanzionati per quella che sapeva essere ancora un’intenzione al momento dei fatti</w:t>
      </w:r>
      <w:r w:rsidR="008C09DF" w:rsidRPr="00E61561">
        <w:rPr>
          <w:rFonts w:cs="Times New Roman"/>
          <w:i/>
          <w:color w:val="262626"/>
        </w:rPr>
        <w:t>»</w:t>
      </w:r>
      <w:r w:rsidR="004A5332">
        <w:rPr>
          <w:rStyle w:val="Rimandonotaapidipagina"/>
          <w:rFonts w:cs="Times New Roman"/>
          <w:color w:val="262626"/>
        </w:rPr>
        <w:footnoteReference w:id="124"/>
      </w:r>
      <w:r w:rsidR="008C09DF" w:rsidRPr="00C02967">
        <w:rPr>
          <w:rFonts w:cs="Times New Roman"/>
          <w:color w:val="262626"/>
        </w:rPr>
        <w:t>.</w:t>
      </w:r>
    </w:p>
    <w:p w14:paraId="74B00701" w14:textId="5239F139" w:rsidR="00526300" w:rsidRDefault="0010094E" w:rsidP="003A63CD">
      <w:pPr>
        <w:spacing w:after="100" w:afterAutospacing="1" w:line="276" w:lineRule="auto"/>
      </w:pPr>
      <w:r>
        <w:t>Sebbene l’opinione della maggioranza risulti cauta sul rispetto dei parametri processuali, l’</w:t>
      </w:r>
      <w:r w:rsidR="0030087B">
        <w:t>opinione dissenziente potrebbe aver anticipato gli sviluppi della giurisprudenza futura.</w:t>
      </w:r>
      <w:r w:rsidR="00AD5740">
        <w:t xml:space="preserve"> </w:t>
      </w:r>
      <w:r w:rsidR="00526300">
        <w:t>Tale possibilità appare evidente dalla pronuncia del</w:t>
      </w:r>
      <w:r w:rsidR="00AD5740">
        <w:t xml:space="preserve"> Consiglio di Stato</w:t>
      </w:r>
      <w:r w:rsidR="00526300">
        <w:t xml:space="preserve"> che</w:t>
      </w:r>
      <w:r w:rsidR="00E0435F">
        <w:t>, interrogato in merito alla legittimità del procedimento sanzionatorio della CONSOB alla luce del caso Grande Stevens</w:t>
      </w:r>
      <w:r w:rsidR="00890608">
        <w:rPr>
          <w:rStyle w:val="Rimandonotaapidipagina"/>
        </w:rPr>
        <w:footnoteReference w:id="125"/>
      </w:r>
      <w:r w:rsidR="00E0435F">
        <w:t>,</w:t>
      </w:r>
      <w:r w:rsidR="00AD5740">
        <w:t xml:space="preserve"> </w:t>
      </w:r>
      <w:r w:rsidR="00526300">
        <w:t>ha</w:t>
      </w:r>
      <w:r w:rsidR="00AD5740">
        <w:t xml:space="preserve"> voluto </w:t>
      </w:r>
      <w:r w:rsidR="00526300">
        <w:t>dare</w:t>
      </w:r>
      <w:r w:rsidR="00AD5740">
        <w:t xml:space="preserve"> una </w:t>
      </w:r>
      <w:r w:rsidR="007321BC">
        <w:t>lettura</w:t>
      </w:r>
      <w:r w:rsidR="00E0435F">
        <w:t xml:space="preserve"> particolarmente ampia </w:t>
      </w:r>
      <w:r w:rsidR="007321BC">
        <w:t>del</w:t>
      </w:r>
      <w:r w:rsidR="007321BC" w:rsidRPr="007321BC">
        <w:rPr>
          <w:rFonts w:cs="Times New Roman"/>
        </w:rPr>
        <w:t>l’arresto della Corte EDU</w:t>
      </w:r>
      <w:r w:rsidR="00526300">
        <w:rPr>
          <w:rFonts w:cs="Times New Roman"/>
        </w:rPr>
        <w:t xml:space="preserve"> e del principio di “giusto processo”</w:t>
      </w:r>
      <w:r w:rsidR="00E0435F">
        <w:t>.</w:t>
      </w:r>
      <w:r w:rsidR="00113EE4">
        <w:t xml:space="preserve"> </w:t>
      </w:r>
    </w:p>
    <w:p w14:paraId="0A41BB92" w14:textId="052F5F2C" w:rsidR="007321BC" w:rsidRDefault="00526300" w:rsidP="003A63CD">
      <w:pPr>
        <w:spacing w:after="100" w:afterAutospacing="1" w:line="276" w:lineRule="auto"/>
        <w:rPr>
          <w:rFonts w:cs="Times New Roman"/>
        </w:rPr>
      </w:pPr>
      <w:r>
        <w:t>In particolar modo</w:t>
      </w:r>
      <w:r w:rsidR="00E0435F">
        <w:t xml:space="preserve"> </w:t>
      </w:r>
      <w:r>
        <w:t>l’ordinanza ritiene</w:t>
      </w:r>
      <w:r w:rsidR="00E0435F" w:rsidRPr="007321BC">
        <w:rPr>
          <w:rFonts w:cs="Times New Roman"/>
        </w:rPr>
        <w:t xml:space="preserve"> </w:t>
      </w:r>
      <w:r w:rsidR="007321BC">
        <w:rPr>
          <w:rFonts w:cs="Times New Roman"/>
        </w:rPr>
        <w:t xml:space="preserve">la pronuncia </w:t>
      </w:r>
      <w:r>
        <w:rPr>
          <w:rFonts w:cs="Times New Roman"/>
        </w:rPr>
        <w:t xml:space="preserve">della Corte EDU </w:t>
      </w:r>
      <w:r w:rsidR="0047231B" w:rsidRPr="007321BC">
        <w:rPr>
          <w:rFonts w:cs="Times New Roman"/>
        </w:rPr>
        <w:t>come critic</w:t>
      </w:r>
      <w:r w:rsidR="007321BC">
        <w:rPr>
          <w:rFonts w:cs="Times New Roman"/>
        </w:rPr>
        <w:t>a</w:t>
      </w:r>
      <w:r w:rsidR="0047231B" w:rsidRPr="007321BC">
        <w:rPr>
          <w:rFonts w:cs="Times New Roman"/>
        </w:rPr>
        <w:t xml:space="preserve"> rispetto all’intero </w:t>
      </w:r>
      <w:r w:rsidR="0047231B" w:rsidRPr="007321BC">
        <w:rPr>
          <w:rFonts w:cs="Times New Roman"/>
          <w:i/>
        </w:rPr>
        <w:t xml:space="preserve">«regolamento sanzionatorio </w:t>
      </w:r>
      <w:r w:rsidR="007321BC" w:rsidRPr="007321BC">
        <w:rPr>
          <w:rFonts w:cs="Times New Roman"/>
          <w:i/>
        </w:rPr>
        <w:t>CONSOB</w:t>
      </w:r>
      <w:r>
        <w:rPr>
          <w:rFonts w:cs="Times New Roman"/>
          <w:i/>
        </w:rPr>
        <w:t>,</w:t>
      </w:r>
      <w:r w:rsidR="0047231B" w:rsidRPr="007321BC">
        <w:rPr>
          <w:rFonts w:cs="Times New Roman"/>
          <w:i/>
        </w:rPr>
        <w:t xml:space="preserve"> </w:t>
      </w:r>
      <w:r w:rsidR="007321BC" w:rsidRPr="007321BC">
        <w:rPr>
          <w:rFonts w:cs="Times New Roman"/>
          <w:i/>
        </w:rPr>
        <w:t xml:space="preserve">[…] </w:t>
      </w:r>
      <w:r w:rsidR="0047231B" w:rsidRPr="007321BC">
        <w:rPr>
          <w:rFonts w:cs="Times New Roman"/>
          <w:i/>
        </w:rPr>
        <w:t>violativo dell’art. 6 CEDU sotto vari profili, quali, tra gli altri, la mancanza del contraddittorio e la mancata pubblicità del procedimento»</w:t>
      </w:r>
      <w:r w:rsidR="007321BC">
        <w:rPr>
          <w:rFonts w:cs="Times New Roman"/>
        </w:rPr>
        <w:t>.</w:t>
      </w:r>
      <w:r w:rsidR="002A4AE0">
        <w:rPr>
          <w:rFonts w:cs="Times New Roman"/>
        </w:rPr>
        <w:t xml:space="preserve"> Una simile posizione viene presa no</w:t>
      </w:r>
      <w:r w:rsidR="00774D1A">
        <w:rPr>
          <w:rFonts w:cs="Times New Roman"/>
        </w:rPr>
        <w:t>nostante i mutamenti che la CONSOB nelle more</w:t>
      </w:r>
      <w:r w:rsidR="002A4AE0">
        <w:rPr>
          <w:rFonts w:cs="Times New Roman"/>
        </w:rPr>
        <w:t xml:space="preserve"> </w:t>
      </w:r>
      <w:r w:rsidR="00774D1A">
        <w:rPr>
          <w:rFonts w:cs="Times New Roman"/>
        </w:rPr>
        <w:t xml:space="preserve">ha addotto al suo procedimento, completamente riscritto dalla delibera </w:t>
      </w:r>
      <w:r w:rsidR="00774D1A" w:rsidRPr="006239F6">
        <w:rPr>
          <w:rFonts w:cs="Verdana"/>
        </w:rPr>
        <w:t>n. 18750 del 19 dicembre 2013</w:t>
      </w:r>
      <w:r w:rsidR="00774D1A">
        <w:rPr>
          <w:rFonts w:cs="Times New Roman"/>
        </w:rPr>
        <w:t xml:space="preserve"> e modificato, al fine di garantire un maggior diritto di accesso agli atti, dalle delibere </w:t>
      </w:r>
      <w:r w:rsidR="00774D1A" w:rsidRPr="006239F6">
        <w:rPr>
          <w:rFonts w:cs="Verdana"/>
        </w:rPr>
        <w:t>n. 18774 del 29 gennaio 2014 e n. 19016 del 3 settembre 2014</w:t>
      </w:r>
      <w:r w:rsidR="00774D1A">
        <w:rPr>
          <w:rFonts w:cs="Times New Roman"/>
        </w:rPr>
        <w:t>, precedenti alla citata decisione del Consiglio di Stato.</w:t>
      </w:r>
    </w:p>
    <w:p w14:paraId="4DBA6532" w14:textId="693F104A" w:rsidR="007321BC" w:rsidRDefault="00113EE4" w:rsidP="003A63CD">
      <w:pPr>
        <w:spacing w:after="100" w:afterAutospacing="1" w:line="276" w:lineRule="auto"/>
      </w:pPr>
      <w:r w:rsidRPr="007321BC">
        <w:rPr>
          <w:rFonts w:cs="Times New Roman"/>
        </w:rPr>
        <w:t xml:space="preserve">Peraltro, qualora si condividesse anche il merito delle osservazioni </w:t>
      </w:r>
      <w:r>
        <w:t>dei giudici</w:t>
      </w:r>
      <w:r w:rsidR="00526300">
        <w:t xml:space="preserve"> </w:t>
      </w:r>
      <w:r w:rsidR="00FA3F2F">
        <w:t xml:space="preserve">dissenzienti </w:t>
      </w:r>
      <w:r w:rsidR="00526300">
        <w:t>della Corte EDU</w:t>
      </w:r>
      <w:r>
        <w:t xml:space="preserve">, non si potrebbe che propendere per anticipare come attuale </w:t>
      </w:r>
      <w:r w:rsidR="00F05671">
        <w:t>il</w:t>
      </w:r>
      <w:r>
        <w:t xml:space="preserve"> problema che si prospetta all’orizzonte.</w:t>
      </w:r>
      <w:r w:rsidR="00F55EAC">
        <w:t xml:space="preserve"> </w:t>
      </w:r>
      <w:r w:rsidR="00F05671">
        <w:t>Anticipazione t</w:t>
      </w:r>
      <w:r w:rsidR="00F55EAC">
        <w:t xml:space="preserve">anto più </w:t>
      </w:r>
      <w:r w:rsidR="00F05671">
        <w:t xml:space="preserve">necessaria </w:t>
      </w:r>
      <w:r w:rsidR="00044975">
        <w:t xml:space="preserve">alla luce </w:t>
      </w:r>
      <w:r w:rsidR="00F05671">
        <w:t>delle critiche</w:t>
      </w:r>
      <w:r w:rsidR="00044975">
        <w:t xml:space="preserve"> ai reati di abuso di mercato e al loro sistema sanzionatorio</w:t>
      </w:r>
      <w:r w:rsidR="00F05671">
        <w:t xml:space="preserve"> ricevute su più fronti </w:t>
      </w:r>
      <w:r w:rsidR="00044975">
        <w:t xml:space="preserve">da una dottrina unanime. </w:t>
      </w:r>
    </w:p>
    <w:p w14:paraId="45555A7D" w14:textId="7EA8C71A" w:rsidR="0030087B" w:rsidRDefault="00044975" w:rsidP="003A63CD">
      <w:pPr>
        <w:spacing w:after="100" w:afterAutospacing="1" w:line="276" w:lineRule="auto"/>
      </w:pPr>
      <w:r>
        <w:t>L</w:t>
      </w:r>
      <w:r w:rsidR="006A186E">
        <w:t xml:space="preserve">a pronuncia della Corte EDU non </w:t>
      </w:r>
      <w:r>
        <w:t>ha proposto</w:t>
      </w:r>
      <w:r w:rsidR="0067438C">
        <w:t xml:space="preserve"> soluzioni per prevenire</w:t>
      </w:r>
      <w:r w:rsidR="00377DC6">
        <w:t xml:space="preserve"> la violazione del principio del </w:t>
      </w:r>
      <w:r w:rsidR="00377DC6" w:rsidRPr="00DE0B69">
        <w:rPr>
          <w:i/>
        </w:rPr>
        <w:t>ne bis in idem</w:t>
      </w:r>
      <w:r w:rsidR="00377DC6">
        <w:t>, il quale ha innanzitutto una natura processuale.</w:t>
      </w:r>
      <w:r w:rsidR="00F55EAC">
        <w:t xml:space="preserve"> </w:t>
      </w:r>
      <w:r w:rsidR="00377DC6">
        <w:t>Sarebbe d’uopo prevedere un</w:t>
      </w:r>
      <w:r w:rsidR="00F55EAC">
        <w:t xml:space="preserve"> co</w:t>
      </w:r>
      <w:r w:rsidR="00DE0B69">
        <w:t>ordinamento tra CONSOB e procure al fine di prevenire l’instaurazione di una duplice indagine</w:t>
      </w:r>
      <w:r w:rsidR="00F55EAC">
        <w:t>, per cui</w:t>
      </w:r>
      <w:r w:rsidR="00377DC6">
        <w:t xml:space="preserve"> però il T.U.F. prevede già una norma nell’</w:t>
      </w:r>
      <w:r w:rsidR="009264DB">
        <w:t xml:space="preserve">art. 187 </w:t>
      </w:r>
      <w:r w:rsidR="009264DB" w:rsidRPr="009264DB">
        <w:rPr>
          <w:i/>
        </w:rPr>
        <w:t>decies</w:t>
      </w:r>
      <w:r w:rsidR="00794BDF">
        <w:t>,</w:t>
      </w:r>
      <w:r w:rsidR="009F38B0">
        <w:t xml:space="preserve"> </w:t>
      </w:r>
      <w:r w:rsidR="00794BDF">
        <w:t>che quindi</w:t>
      </w:r>
      <w:r w:rsidR="009F38B0">
        <w:t xml:space="preserve"> andrebbe riscritto</w:t>
      </w:r>
      <w:r w:rsidR="00794BDF">
        <w:t>.</w:t>
      </w:r>
      <w:r w:rsidR="00555F83">
        <w:t xml:space="preserve"> </w:t>
      </w:r>
      <w:r w:rsidR="00794BDF">
        <w:t>L’i</w:t>
      </w:r>
      <w:r w:rsidR="00555F83">
        <w:t xml:space="preserve">ntervento </w:t>
      </w:r>
      <w:r w:rsidR="00794BDF">
        <w:t xml:space="preserve">del </w:t>
      </w:r>
      <w:r w:rsidR="00B31C3E">
        <w:t>legislatore</w:t>
      </w:r>
      <w:r w:rsidR="00794BDF">
        <w:t xml:space="preserve"> è in</w:t>
      </w:r>
      <w:r w:rsidR="00555F83">
        <w:rPr>
          <w:rFonts w:cs="Times New Roman"/>
        </w:rPr>
        <w:t xml:space="preserve"> ogni </w:t>
      </w:r>
      <w:r w:rsidR="00555F83" w:rsidRPr="00AA5F55">
        <w:rPr>
          <w:rFonts w:cs="Times New Roman"/>
        </w:rPr>
        <w:t xml:space="preserve">modo </w:t>
      </w:r>
      <w:r w:rsidR="00794BDF">
        <w:rPr>
          <w:rFonts w:cs="Times New Roman"/>
        </w:rPr>
        <w:t xml:space="preserve">reso </w:t>
      </w:r>
      <w:r w:rsidR="00555F83" w:rsidRPr="00AA5F55">
        <w:rPr>
          <w:rFonts w:cs="Times New Roman"/>
        </w:rPr>
        <w:t xml:space="preserve">necessario dall’avvento della nuova disciplina europea sugli abusi di mercato, compresa nella Direttiva 2014/57/UE (MAD2) e </w:t>
      </w:r>
      <w:r w:rsidR="00555F83">
        <w:rPr>
          <w:rFonts w:cs="Times New Roman"/>
        </w:rPr>
        <w:t>nel</w:t>
      </w:r>
      <w:r w:rsidR="00555F83" w:rsidRPr="00AA5F55">
        <w:rPr>
          <w:rFonts w:cs="Times New Roman"/>
        </w:rPr>
        <w:t xml:space="preserve"> Regolamento UE 596/2014 (MAR)</w:t>
      </w:r>
      <w:r w:rsidR="00943B59">
        <w:rPr>
          <w:rFonts w:cs="Times New Roman"/>
        </w:rPr>
        <w:t>, entrambi del 16 aprile 2014</w:t>
      </w:r>
      <w:r w:rsidR="00951CF0">
        <w:rPr>
          <w:rFonts w:cs="Times New Roman"/>
        </w:rPr>
        <w:t>.</w:t>
      </w:r>
    </w:p>
    <w:p w14:paraId="3E46C85D" w14:textId="31ED4407" w:rsidR="00520961" w:rsidRDefault="00816340" w:rsidP="003A63CD">
      <w:pPr>
        <w:spacing w:after="100" w:afterAutospacing="1" w:line="276" w:lineRule="auto"/>
      </w:pPr>
      <w:r>
        <w:t>Una via d’uscita dall’</w:t>
      </w:r>
      <w:r w:rsidRPr="00816340">
        <w:rPr>
          <w:i/>
        </w:rPr>
        <w:t>impasse</w:t>
      </w:r>
      <w:r>
        <w:t xml:space="preserve"> potrebbe </w:t>
      </w:r>
      <w:r w:rsidR="00520961">
        <w:t>individuarsi</w:t>
      </w:r>
      <w:r>
        <w:t xml:space="preserve"> </w:t>
      </w:r>
      <w:r w:rsidR="00520961">
        <w:t>ne</w:t>
      </w:r>
      <w:r>
        <w:t>ll’astensione volontaria della CONSOB</w:t>
      </w:r>
      <w:r w:rsidR="00520961">
        <w:t xml:space="preserve"> dalla </w:t>
      </w:r>
      <w:r w:rsidR="00FA3F2F">
        <w:t>propria</w:t>
      </w:r>
      <w:r w:rsidR="00520961">
        <w:t xml:space="preserve"> attività sanzionatoria</w:t>
      </w:r>
      <w:r w:rsidR="009675F3">
        <w:rPr>
          <w:rStyle w:val="Rimandonotaapidipagina"/>
        </w:rPr>
        <w:footnoteReference w:id="126"/>
      </w:r>
      <w:r w:rsidR="0020155D">
        <w:t xml:space="preserve">, in attesa di una normativa che riformi il procedimento sanzionatorio e l’architettura dell’autorità al fine di garantire il pieno rispetto dei principi del giusto processo. </w:t>
      </w:r>
    </w:p>
    <w:p w14:paraId="2D36D763" w14:textId="5BA9CB10" w:rsidR="00C1790D" w:rsidRDefault="00520961" w:rsidP="003A63CD">
      <w:pPr>
        <w:spacing w:after="100" w:afterAutospacing="1" w:line="276" w:lineRule="auto"/>
        <w:rPr>
          <w:rFonts w:cs="Times New Roman"/>
        </w:rPr>
      </w:pPr>
      <w:r>
        <w:rPr>
          <w:rFonts w:cs="Times New Roman"/>
        </w:rPr>
        <w:t>U</w:t>
      </w:r>
      <w:r w:rsidR="0030087B">
        <w:rPr>
          <w:rFonts w:cs="Times New Roman"/>
        </w:rPr>
        <w:t>na simile soluzione</w:t>
      </w:r>
      <w:r>
        <w:rPr>
          <w:rFonts w:cs="Times New Roman"/>
        </w:rPr>
        <w:t>, che certamente</w:t>
      </w:r>
      <w:r w:rsidR="0030087B">
        <w:rPr>
          <w:rFonts w:cs="Times New Roman"/>
        </w:rPr>
        <w:t xml:space="preserve"> sarebbe rispettosa dei diritti umani di cui alla Convenzione EDU, </w:t>
      </w:r>
      <w:r>
        <w:rPr>
          <w:rFonts w:cs="Times New Roman"/>
        </w:rPr>
        <w:t>a sua volta</w:t>
      </w:r>
      <w:r w:rsidR="0030087B">
        <w:rPr>
          <w:rFonts w:cs="Times New Roman"/>
        </w:rPr>
        <w:t xml:space="preserve"> violerebbe l’obbligo di adeguata tutela del mercato finanziario impos</w:t>
      </w:r>
      <w:r w:rsidR="008E105F">
        <w:rPr>
          <w:rFonts w:cs="Times New Roman"/>
        </w:rPr>
        <w:t xml:space="preserve">to dalla MAD. Ciò </w:t>
      </w:r>
      <w:r w:rsidR="00C1790D">
        <w:rPr>
          <w:rFonts w:cs="Times New Roman"/>
        </w:rPr>
        <w:t xml:space="preserve">perché l’opinione unanime è nel senso che l’art. 14 della MAD imponga l’adozione di sanzioni amministrative. </w:t>
      </w:r>
    </w:p>
    <w:p w14:paraId="5ADD1FBE" w14:textId="5E728E80" w:rsidR="00C31381" w:rsidRDefault="004D0B65" w:rsidP="003A63CD">
      <w:pPr>
        <w:spacing w:after="100" w:afterAutospacing="1" w:line="276" w:lineRule="auto"/>
      </w:pPr>
      <w:r w:rsidRPr="008716B5">
        <w:t xml:space="preserve">In realtà </w:t>
      </w:r>
      <w:r w:rsidR="008817CF">
        <w:t>tale opinione</w:t>
      </w:r>
      <w:r w:rsidR="00C1790D">
        <w:t xml:space="preserve"> appare errata,</w:t>
      </w:r>
      <w:r w:rsidR="00FB00D9">
        <w:t xml:space="preserve"> in quanto </w:t>
      </w:r>
      <w:r w:rsidR="008817CF">
        <w:t>scopo espresso ed unico del</w:t>
      </w:r>
      <w:r w:rsidR="00FB00D9">
        <w:t xml:space="preserve">l’art. 14 </w:t>
      </w:r>
      <w:r w:rsidR="008817CF">
        <w:t>è quello</w:t>
      </w:r>
      <w:r w:rsidRPr="008716B5">
        <w:t xml:space="preserve"> di tutelare il mercato tramite un illecito che sia efficace, proporzionato e dissuasivo</w:t>
      </w:r>
      <w:r w:rsidR="00FB00D9">
        <w:t xml:space="preserve">. </w:t>
      </w:r>
      <w:r w:rsidR="00C31381">
        <w:t xml:space="preserve">All’uopo, in sede di ermeneutica della MAD, va ricordato che, al momento della sua approvazione, l’Unione europea non aveva competenza per l’adozione di sanzioni penali, essendo avvenuta </w:t>
      </w:r>
      <w:r w:rsidR="00C31381" w:rsidRPr="008716B5">
        <w:t>pr</w:t>
      </w:r>
      <w:r w:rsidR="00C31381">
        <w:t>ima</w:t>
      </w:r>
      <w:r w:rsidR="00C31381" w:rsidRPr="008716B5">
        <w:t xml:space="preserve"> </w:t>
      </w:r>
      <w:r w:rsidR="00C31381">
        <w:t>de</w:t>
      </w:r>
      <w:r w:rsidR="00C31381" w:rsidRPr="008716B5">
        <w:t>l Trattato di Lisbona</w:t>
      </w:r>
      <w:r w:rsidR="00C31381">
        <w:t>.</w:t>
      </w:r>
    </w:p>
    <w:p w14:paraId="42CCF756" w14:textId="40D15753" w:rsidR="00670D75" w:rsidRDefault="00C31381" w:rsidP="00E7769C">
      <w:pPr>
        <w:spacing w:after="100" w:afterAutospacing="1" w:line="276" w:lineRule="auto"/>
      </w:pPr>
      <w:r>
        <w:t>Ne deriva che la prescrizione della MAD non poteva che essere di tipo amministrativo, con facoltà dei singoli stati di adottare sanzioni penali.</w:t>
      </w:r>
      <w:r w:rsidR="009C3435">
        <w:t xml:space="preserve"> </w:t>
      </w:r>
      <w:r w:rsidR="00E7769C">
        <w:t xml:space="preserve">Tali sanzioni possono quindi essere ipotizzate sia </w:t>
      </w:r>
      <w:r w:rsidR="00670D75">
        <w:t>come</w:t>
      </w:r>
      <w:r w:rsidR="00E7769C">
        <w:t xml:space="preserve"> alternative </w:t>
      </w:r>
      <w:r w:rsidR="00670D75">
        <w:t xml:space="preserve">a quelle </w:t>
      </w:r>
      <w:r w:rsidR="00670D75" w:rsidRPr="008716B5">
        <w:t>amministrative</w:t>
      </w:r>
      <w:r w:rsidR="00670D75">
        <w:t xml:space="preserve"> sia come con esse concorrenti.</w:t>
      </w:r>
    </w:p>
    <w:p w14:paraId="59DA2612" w14:textId="7EEEAEB3" w:rsidR="004D0B65" w:rsidRDefault="00670D75" w:rsidP="00E7769C">
      <w:pPr>
        <w:spacing w:after="100" w:afterAutospacing="1" w:line="276" w:lineRule="auto"/>
      </w:pPr>
      <w:r>
        <w:t xml:space="preserve">In tale contesto potrebbe apparire </w:t>
      </w:r>
      <w:r w:rsidR="009C3435">
        <w:t xml:space="preserve">una scelta singolare, </w:t>
      </w:r>
      <w:r>
        <w:t xml:space="preserve">ma non certo normativamente </w:t>
      </w:r>
      <w:r w:rsidR="009C3435">
        <w:t>vieta</w:t>
      </w:r>
      <w:r>
        <w:t>ta</w:t>
      </w:r>
      <w:r w:rsidR="009C3435">
        <w:t xml:space="preserve"> l’adozione di un unico</w:t>
      </w:r>
      <w:r w:rsidR="00CA4F54">
        <w:t xml:space="preserve"> binario</w:t>
      </w:r>
      <w:r w:rsidR="009C3435">
        <w:t xml:space="preserve"> sanzion</w:t>
      </w:r>
      <w:r w:rsidR="00CA4F54">
        <w:t>atorio</w:t>
      </w:r>
      <w:r w:rsidR="009C3435">
        <w:t xml:space="preserve"> esclusivamente penal</w:t>
      </w:r>
      <w:r w:rsidR="00CA4F54">
        <w:t>e</w:t>
      </w:r>
      <w:r>
        <w:t>, specie l</w:t>
      </w:r>
      <w:r w:rsidR="00CD27AC">
        <w:t>ì</w:t>
      </w:r>
      <w:r>
        <w:t xml:space="preserve"> dove la Corte, per la loro gravosità, le ha qualificate come sanzioni penali di fatto.</w:t>
      </w:r>
      <w:r w:rsidR="00C0135A">
        <w:t xml:space="preserve"> Così come è espressamente ammessa l’adozione di sole sanzioni amministrative.</w:t>
      </w:r>
    </w:p>
    <w:p w14:paraId="7DAEA204" w14:textId="4F96684B" w:rsidR="006E0EEA" w:rsidRDefault="006E0EEA" w:rsidP="003A63CD">
      <w:pPr>
        <w:spacing w:after="100" w:afterAutospacing="1" w:line="276" w:lineRule="auto"/>
        <w:rPr>
          <w:rFonts w:cs="Times New Roman"/>
        </w:rPr>
      </w:pPr>
      <w:r>
        <w:t xml:space="preserve">Rimarrebbe da verificare quindi se le condotte </w:t>
      </w:r>
      <w:r>
        <w:rPr>
          <w:rFonts w:cs="Times New Roman"/>
        </w:rPr>
        <w:t>dell’illecito amministrativo rientrino tutte nel delitto. È</w:t>
      </w:r>
      <w:r w:rsidR="003B1DC4">
        <w:rPr>
          <w:rFonts w:cs="Times New Roman"/>
        </w:rPr>
        <w:t xml:space="preserve"> immediato rilevare come, per il rapporto tra il</w:t>
      </w:r>
      <w:r w:rsidR="00D12E14">
        <w:rPr>
          <w:rFonts w:cs="Times New Roman"/>
        </w:rPr>
        <w:t>leciti ben delineato dalla sentenza</w:t>
      </w:r>
      <w:r w:rsidR="003B1DC4">
        <w:rPr>
          <w:rFonts w:cs="Times New Roman"/>
        </w:rPr>
        <w:t xml:space="preserve"> n. </w:t>
      </w:r>
      <w:r w:rsidR="00D12E14">
        <w:rPr>
          <w:rFonts w:cs="Times New Roman"/>
        </w:rPr>
        <w:t>15199 emessa dalla</w:t>
      </w:r>
      <w:r w:rsidR="003B1DC4">
        <w:rPr>
          <w:rFonts w:cs="Times New Roman"/>
        </w:rPr>
        <w:t xml:space="preserve"> Suprema Corte</w:t>
      </w:r>
      <w:r w:rsidR="00D12E14">
        <w:rPr>
          <w:rFonts w:cs="Times New Roman"/>
        </w:rPr>
        <w:t xml:space="preserve"> nel 2006</w:t>
      </w:r>
      <w:r w:rsidR="003B1DC4">
        <w:rPr>
          <w:rFonts w:cs="Times New Roman"/>
        </w:rPr>
        <w:t xml:space="preserve"> e fin qui descritto, la tutela del mercato al livello del pericolo presunto richiesta dalla MAD non potrà essere soddisfatta dall’art. 185 del T</w:t>
      </w:r>
      <w:r w:rsidR="007C791C">
        <w:rPr>
          <w:rFonts w:cs="Times New Roman"/>
        </w:rPr>
        <w:t>.</w:t>
      </w:r>
      <w:r w:rsidR="003B1DC4">
        <w:rPr>
          <w:rFonts w:cs="Times New Roman"/>
        </w:rPr>
        <w:t>U</w:t>
      </w:r>
      <w:r w:rsidR="007C791C">
        <w:rPr>
          <w:rFonts w:cs="Times New Roman"/>
        </w:rPr>
        <w:t>.</w:t>
      </w:r>
      <w:r w:rsidR="003B1DC4">
        <w:rPr>
          <w:rFonts w:cs="Times New Roman"/>
        </w:rPr>
        <w:t>F</w:t>
      </w:r>
      <w:r w:rsidR="007C791C">
        <w:rPr>
          <w:rFonts w:cs="Times New Roman"/>
        </w:rPr>
        <w:t>.</w:t>
      </w:r>
      <w:r w:rsidR="003B1DC4">
        <w:rPr>
          <w:rFonts w:cs="Times New Roman"/>
        </w:rPr>
        <w:t xml:space="preserve"> nella sua attuale formulazione.</w:t>
      </w:r>
      <w:r w:rsidR="00CA4F54">
        <w:rPr>
          <w:rFonts w:cs="Times New Roman"/>
        </w:rPr>
        <w:t xml:space="preserve"> </w:t>
      </w:r>
      <w:r w:rsidR="00FA3F2F">
        <w:rPr>
          <w:rFonts w:cs="Times New Roman"/>
        </w:rPr>
        <w:t xml:space="preserve">Si pone così </w:t>
      </w:r>
      <w:r w:rsidR="009D45B9">
        <w:rPr>
          <w:rFonts w:cs="Times New Roman"/>
        </w:rPr>
        <w:t>il dilemma se sarebbe più opportuno sospendere i procedimenti sanzionatori della CONSOB e violare così la MAD, ovvero farli proseguire con il rischio di ulteriori violazioni dei diritti umani sanciti dalla Convenzione EDU.</w:t>
      </w:r>
    </w:p>
    <w:p w14:paraId="1C64010C" w14:textId="2BEB38F7" w:rsidR="006D439A" w:rsidRDefault="006D439A" w:rsidP="003A63CD">
      <w:pPr>
        <w:spacing w:after="100" w:afterAutospacing="1" w:line="276" w:lineRule="auto"/>
        <w:rPr>
          <w:rFonts w:cs="Times New Roman"/>
        </w:rPr>
      </w:pPr>
      <w:r>
        <w:rPr>
          <w:rFonts w:cs="Times New Roman"/>
        </w:rPr>
        <w:t xml:space="preserve">Si deve inoltre smentire l’assunto che l’autorità amministrativa di settore </w:t>
      </w:r>
      <w:r w:rsidR="00465278">
        <w:rPr>
          <w:rFonts w:cs="Times New Roman"/>
        </w:rPr>
        <w:t>debba</w:t>
      </w:r>
      <w:r>
        <w:rPr>
          <w:rFonts w:cs="Times New Roman"/>
        </w:rPr>
        <w:t xml:space="preserve"> irrogare anche le sanzioni amministrative, assunto sulla base del quale il </w:t>
      </w:r>
      <w:r w:rsidR="00B31C3E">
        <w:rPr>
          <w:rFonts w:cs="Times New Roman"/>
        </w:rPr>
        <w:t>legislatore</w:t>
      </w:r>
      <w:r>
        <w:rPr>
          <w:rFonts w:cs="Times New Roman"/>
        </w:rPr>
        <w:t xml:space="preserve"> italiano ha dato attuazione alla MAD.</w:t>
      </w:r>
      <w:r w:rsidR="008E1C1A">
        <w:rPr>
          <w:rFonts w:cs="Times New Roman"/>
        </w:rPr>
        <w:t xml:space="preserve"> </w:t>
      </w:r>
      <w:r w:rsidR="008639C3">
        <w:rPr>
          <w:rFonts w:cs="Times New Roman"/>
        </w:rPr>
        <w:t>Una prima lettura del trentaseiesimo considerando</w:t>
      </w:r>
      <w:r w:rsidR="008639C3" w:rsidRPr="009F0943">
        <w:rPr>
          <w:rStyle w:val="Rimandonotaapidipagina"/>
        </w:rPr>
        <w:footnoteReference w:id="127"/>
      </w:r>
      <w:r w:rsidR="008639C3">
        <w:rPr>
          <w:rFonts w:cs="Times New Roman"/>
        </w:rPr>
        <w:t xml:space="preserve"> infatti potrebbe indurre a ritenere che l’autorità nazionale di settore debba necessariamente avere anche competenze sanzionatorie. </w:t>
      </w:r>
      <w:r w:rsidR="00565A11">
        <w:rPr>
          <w:rFonts w:cs="Times New Roman"/>
        </w:rPr>
        <w:t>Non sembrano porre problemi le parole secondo</w:t>
      </w:r>
      <w:r w:rsidR="00565A11" w:rsidRPr="00565A11">
        <w:rPr>
          <w:rFonts w:cs="Times New Roman"/>
        </w:rPr>
        <w:t xml:space="preserve"> cui </w:t>
      </w:r>
      <w:r w:rsidR="00565A11" w:rsidRPr="00565A11">
        <w:rPr>
          <w:rFonts w:cs="Times New Roman"/>
          <w:i/>
        </w:rPr>
        <w:t>«in ogni Stato membro dovrebbe essere designata un'unica autorità competente, cui spetti almeno la responsabilità finale di controllare il rispetto delle disposizioni adottate ai sensi della presente direttiva»</w:t>
      </w:r>
      <w:r w:rsidR="00565A11" w:rsidRPr="00565A11">
        <w:rPr>
          <w:rFonts w:cs="Times New Roman"/>
        </w:rPr>
        <w:t>.</w:t>
      </w:r>
    </w:p>
    <w:p w14:paraId="2698637A" w14:textId="57E3DCD3" w:rsidR="00174026" w:rsidRDefault="009D45B9" w:rsidP="003A63CD">
      <w:pPr>
        <w:spacing w:after="100" w:afterAutospacing="1" w:line="276" w:lineRule="auto"/>
        <w:rPr>
          <w:rFonts w:cs="Times New Roman"/>
        </w:rPr>
      </w:pPr>
      <w:r>
        <w:rPr>
          <w:rFonts w:cs="Times New Roman"/>
        </w:rPr>
        <w:t>Tale considerando deve però essere coordinato</w:t>
      </w:r>
      <w:r w:rsidR="00AB39C2">
        <w:rPr>
          <w:rFonts w:cs="Times New Roman"/>
        </w:rPr>
        <w:t xml:space="preserve"> </w:t>
      </w:r>
      <w:r w:rsidR="00E54666">
        <w:rPr>
          <w:rFonts w:cs="Times New Roman"/>
        </w:rPr>
        <w:t xml:space="preserve">con il </w:t>
      </w:r>
      <w:r w:rsidR="00AB39C2">
        <w:rPr>
          <w:rFonts w:cs="Times New Roman"/>
        </w:rPr>
        <w:t>primo comma dell’</w:t>
      </w:r>
      <w:r w:rsidR="00E54666">
        <w:rPr>
          <w:rFonts w:cs="Times New Roman"/>
        </w:rPr>
        <w:t>art. 11</w:t>
      </w:r>
      <w:r w:rsidR="000C44DD">
        <w:rPr>
          <w:rStyle w:val="Rimandonotaapidipagina"/>
          <w:rFonts w:cs="Times New Roman"/>
        </w:rPr>
        <w:footnoteReference w:id="128"/>
      </w:r>
      <w:r w:rsidR="00E54666">
        <w:rPr>
          <w:rFonts w:cs="Times New Roman"/>
        </w:rPr>
        <w:t xml:space="preserve">, che fa </w:t>
      </w:r>
      <w:r w:rsidR="00AB39C2" w:rsidRPr="00AB39C2">
        <w:rPr>
          <w:rFonts w:cs="Times New Roman"/>
          <w:i/>
        </w:rPr>
        <w:t>«</w:t>
      </w:r>
      <w:r w:rsidR="00E54666" w:rsidRPr="00AB39C2">
        <w:rPr>
          <w:rFonts w:cs="Times New Roman"/>
          <w:i/>
        </w:rPr>
        <w:t>salve le competenze delle autorità giudiziarie</w:t>
      </w:r>
      <w:r w:rsidR="00AB39C2" w:rsidRPr="00AB39C2">
        <w:rPr>
          <w:rFonts w:cs="Times New Roman"/>
          <w:i/>
        </w:rPr>
        <w:t>»</w:t>
      </w:r>
      <w:r>
        <w:rPr>
          <w:rFonts w:cs="Times New Roman"/>
        </w:rPr>
        <w:t xml:space="preserve"> e</w:t>
      </w:r>
      <w:r w:rsidR="00E54666">
        <w:rPr>
          <w:rFonts w:cs="Times New Roman"/>
        </w:rPr>
        <w:t xml:space="preserve"> comporta un’attribuzione più limitata</w:t>
      </w:r>
      <w:r w:rsidR="00AB39C2">
        <w:rPr>
          <w:rFonts w:cs="Times New Roman"/>
        </w:rPr>
        <w:t xml:space="preserve"> di competenze</w:t>
      </w:r>
      <w:r>
        <w:rPr>
          <w:rFonts w:cs="Times New Roman"/>
        </w:rPr>
        <w:t xml:space="preserve"> alla CONSOB</w:t>
      </w:r>
      <w:r w:rsidR="00AB39C2">
        <w:rPr>
          <w:rFonts w:cs="Times New Roman"/>
        </w:rPr>
        <w:t xml:space="preserve"> rispetto a quella</w:t>
      </w:r>
      <w:r w:rsidR="00E54666">
        <w:rPr>
          <w:rFonts w:cs="Times New Roman"/>
        </w:rPr>
        <w:t xml:space="preserve"> inizialmente </w:t>
      </w:r>
      <w:r w:rsidR="00AB39C2">
        <w:rPr>
          <w:rFonts w:cs="Times New Roman"/>
        </w:rPr>
        <w:t>prospettata. Infatti il controllo del rispetto delle disposizioni della MAD non si esaurisce nel profilo sanzionatorio</w:t>
      </w:r>
      <w:r w:rsidR="00C07BF2">
        <w:rPr>
          <w:rFonts w:cs="Times New Roman"/>
        </w:rPr>
        <w:t xml:space="preserve"> e ben potrebbe ipotizzarsi un ruolo di segnalazione dell’autorità</w:t>
      </w:r>
      <w:r w:rsidR="00174026">
        <w:rPr>
          <w:rFonts w:cs="Times New Roman"/>
        </w:rPr>
        <w:t xml:space="preserve"> nazionale</w:t>
      </w:r>
      <w:r w:rsidR="00C07BF2">
        <w:rPr>
          <w:rFonts w:cs="Times New Roman"/>
        </w:rPr>
        <w:t xml:space="preserve"> competente all’autorità giudiziaria. </w:t>
      </w:r>
    </w:p>
    <w:p w14:paraId="6ECCC845" w14:textId="05451BB3" w:rsidR="00565A11" w:rsidRPr="00C1790D" w:rsidRDefault="00174026" w:rsidP="003A63CD">
      <w:pPr>
        <w:spacing w:after="100" w:afterAutospacing="1" w:line="276" w:lineRule="auto"/>
        <w:rPr>
          <w:rFonts w:cs="Times New Roman"/>
        </w:rPr>
      </w:pPr>
      <w:r>
        <w:rPr>
          <w:rFonts w:cs="Times New Roman"/>
        </w:rPr>
        <w:t>L</w:t>
      </w:r>
      <w:r w:rsidR="00C07BF2">
        <w:rPr>
          <w:rFonts w:cs="Times New Roman"/>
        </w:rPr>
        <w:t>a</w:t>
      </w:r>
      <w:r w:rsidR="00AB39C2">
        <w:rPr>
          <w:rFonts w:cs="Times New Roman"/>
        </w:rPr>
        <w:t xml:space="preserve"> finalità della previsione del considerando sembra piuttosto quella di garantire la presenza di un</w:t>
      </w:r>
      <w:r w:rsidR="00C07BF2">
        <w:rPr>
          <w:rFonts w:cs="Times New Roman"/>
        </w:rPr>
        <w:t>’unica autorità</w:t>
      </w:r>
      <w:r w:rsidR="00420964">
        <w:rPr>
          <w:rFonts w:cs="Times New Roman"/>
        </w:rPr>
        <w:t xml:space="preserve"> amministrativa</w:t>
      </w:r>
      <w:r w:rsidR="00C07BF2">
        <w:rPr>
          <w:rFonts w:cs="Times New Roman"/>
        </w:rPr>
        <w:t>, che avrà competenza per ogni aspetto disciplinato dalla MAD</w:t>
      </w:r>
      <w:r w:rsidR="00420964">
        <w:rPr>
          <w:rFonts w:cs="Times New Roman"/>
        </w:rPr>
        <w:t xml:space="preserve"> ed eviterà quella </w:t>
      </w:r>
      <w:r w:rsidR="00420964" w:rsidRPr="00420964">
        <w:rPr>
          <w:rFonts w:cs="Times New Roman"/>
          <w:i/>
        </w:rPr>
        <w:t>«confusione tra gli operatori economici»</w:t>
      </w:r>
      <w:r w:rsidR="009D45B9">
        <w:rPr>
          <w:rFonts w:cs="Times New Roman"/>
        </w:rPr>
        <w:t>, rischio paventato in apertura del citato</w:t>
      </w:r>
      <w:r w:rsidR="00420964">
        <w:rPr>
          <w:rFonts w:cs="Times New Roman"/>
        </w:rPr>
        <w:t xml:space="preserve"> considerando e derivante dalla pluralità di autorità amministrative</w:t>
      </w:r>
      <w:r w:rsidR="00C07BF2">
        <w:rPr>
          <w:rFonts w:cs="Times New Roman"/>
        </w:rPr>
        <w:t>.</w:t>
      </w:r>
      <w:r w:rsidR="00420964">
        <w:rPr>
          <w:rFonts w:cs="Times New Roman"/>
        </w:rPr>
        <w:t xml:space="preserve"> Quindi la confusione che si vuole evitare è di tipo normativo</w:t>
      </w:r>
      <w:r w:rsidR="005B6691">
        <w:rPr>
          <w:rFonts w:cs="Times New Roman"/>
        </w:rPr>
        <w:t>,</w:t>
      </w:r>
      <w:r w:rsidR="00420964">
        <w:rPr>
          <w:rFonts w:cs="Times New Roman"/>
        </w:rPr>
        <w:t xml:space="preserve"> piuttosto che applicativo della fattispecie.</w:t>
      </w:r>
    </w:p>
    <w:p w14:paraId="20853AD8" w14:textId="47444FA9" w:rsidR="003D366A" w:rsidRDefault="00BC17CF" w:rsidP="003A63CD">
      <w:pPr>
        <w:spacing w:after="100" w:afterAutospacing="1" w:line="276" w:lineRule="auto"/>
      </w:pPr>
      <w:r>
        <w:t>La soluzione</w:t>
      </w:r>
      <w:r w:rsidR="00CA06E3">
        <w:t xml:space="preserve"> migliore, ma necessariamente in </w:t>
      </w:r>
      <w:r w:rsidR="0037684B">
        <w:t>una prospettiva</w:t>
      </w:r>
      <w:r w:rsidR="00CA06E3">
        <w:t xml:space="preserve"> </w:t>
      </w:r>
      <w:r w:rsidR="00CA06E3" w:rsidRPr="00CA06E3">
        <w:rPr>
          <w:i/>
        </w:rPr>
        <w:t>de iure condendo</w:t>
      </w:r>
      <w:r w:rsidR="0037684B">
        <w:t>,</w:t>
      </w:r>
      <w:r>
        <w:t xml:space="preserve"> potrebbe allora essere </w:t>
      </w:r>
      <w:r w:rsidR="00CA06E3">
        <w:t>un ritorno alle origini, con l’applicazione dell’art. 24, primo comma, della l. 689 del 1981</w:t>
      </w:r>
      <w:r w:rsidR="00CA06E3">
        <w:rPr>
          <w:rStyle w:val="Rimandonotaapidipagina"/>
        </w:rPr>
        <w:footnoteReference w:id="129"/>
      </w:r>
      <w:r w:rsidR="00C84B1B">
        <w:t>,</w:t>
      </w:r>
      <w:r w:rsidR="00CA06E3">
        <w:t xml:space="preserve"> </w:t>
      </w:r>
      <w:r w:rsidR="00C84B1B">
        <w:t>ch</w:t>
      </w:r>
      <w:r w:rsidR="00CA06E3">
        <w:t xml:space="preserve">e </w:t>
      </w:r>
      <w:r w:rsidR="00C84B1B">
        <w:t xml:space="preserve">attribuisce al giudice penale </w:t>
      </w:r>
      <w:r w:rsidR="00CA06E3">
        <w:t xml:space="preserve">la competenza sia per l’illecito amministrativo sia per il </w:t>
      </w:r>
      <w:r w:rsidR="000B2E78">
        <w:t>reato da esso dipendente</w:t>
      </w:r>
      <w:r w:rsidR="00CA06E3">
        <w:t>.</w:t>
      </w:r>
    </w:p>
    <w:p w14:paraId="7D2BA645" w14:textId="0A9A01FB" w:rsidR="00D61C29" w:rsidRDefault="0037684B" w:rsidP="00053573">
      <w:pPr>
        <w:spacing w:after="100" w:afterAutospacing="1" w:line="276" w:lineRule="auto"/>
      </w:pPr>
      <w:r>
        <w:t xml:space="preserve">Verrebbe così risolta la questione del rispetto dei principi del giusto processo perché anche l’illecito amministrativo, ma sostanzialmente penale, sarebbe accertato nell’ambito di un procedimento penale. Inoltre non vi sarebbe alcun problema di coordinamento tra autorità differenti </w:t>
      </w:r>
      <w:r w:rsidR="007A6FCA">
        <w:t>e la violazione del principio de</w:t>
      </w:r>
      <w:r>
        <w:t xml:space="preserve">l </w:t>
      </w:r>
      <w:r w:rsidRPr="0037684B">
        <w:rPr>
          <w:i/>
        </w:rPr>
        <w:t>ne bis in idem</w:t>
      </w:r>
      <w:r w:rsidR="007A6FCA">
        <w:t xml:space="preserve"> sarebbe scongiurata</w:t>
      </w:r>
      <w:r>
        <w:t xml:space="preserve"> </w:t>
      </w:r>
      <w:r w:rsidR="0053089F">
        <w:t>dall’esistenza di</w:t>
      </w:r>
      <w:r>
        <w:t xml:space="preserve"> un</w:t>
      </w:r>
      <w:r w:rsidR="0053089F">
        <w:t xml:space="preserve"> unico</w:t>
      </w:r>
      <w:r>
        <w:t xml:space="preserve"> procedimento </w:t>
      </w:r>
      <w:r w:rsidR="007A6FCA">
        <w:t>avanti i</w:t>
      </w:r>
      <w:r>
        <w:t>l giudice penale</w:t>
      </w:r>
      <w:r w:rsidR="00195E03">
        <w:t>,</w:t>
      </w:r>
      <w:r w:rsidR="0053089F">
        <w:t xml:space="preserve"> cui</w:t>
      </w:r>
      <w:r>
        <w:t xml:space="preserve"> corrisponderebb</w:t>
      </w:r>
      <w:r w:rsidR="0053089F">
        <w:t>e una sola sanzione</w:t>
      </w:r>
      <w:r>
        <w:t>.</w:t>
      </w:r>
      <w:r w:rsidR="003D366A">
        <w:t xml:space="preserve"> Infine tale soluzione pare corrispondere </w:t>
      </w:r>
      <w:r w:rsidR="007A6FCA">
        <w:t>anche all</w:t>
      </w:r>
      <w:r w:rsidR="003D366A">
        <w:t xml:space="preserve">a logica di </w:t>
      </w:r>
      <w:r w:rsidR="00DB040C">
        <w:t>contrazione</w:t>
      </w:r>
      <w:r w:rsidR="003D366A">
        <w:t xml:space="preserve"> </w:t>
      </w:r>
      <w:r w:rsidR="00DB040C">
        <w:t>de</w:t>
      </w:r>
      <w:r w:rsidR="003D366A">
        <w:t>i costi</w:t>
      </w:r>
      <w:r w:rsidR="00DB040C">
        <w:t xml:space="preserve"> economici e sociali </w:t>
      </w:r>
      <w:r w:rsidR="007A6FCA">
        <w:t>provocati da</w:t>
      </w:r>
      <w:r w:rsidR="00DB040C">
        <w:t xml:space="preserve"> una duplice indagine </w:t>
      </w:r>
      <w:r w:rsidR="007A6FCA">
        <w:t>su</w:t>
      </w:r>
      <w:r w:rsidR="00DB040C">
        <w:t>i medesimi fatti.</w:t>
      </w:r>
      <w:r w:rsidR="00D61C29">
        <w:br w:type="page"/>
      </w:r>
    </w:p>
    <w:p w14:paraId="0CCB0209" w14:textId="763EDFD4" w:rsidR="00385A2D" w:rsidRPr="009125BC" w:rsidRDefault="00385A2D" w:rsidP="009125BC">
      <w:pPr>
        <w:pStyle w:val="Titolo1"/>
        <w:spacing w:before="100" w:beforeAutospacing="1"/>
      </w:pPr>
      <w:bookmarkStart w:id="10" w:name="_Toc277195435"/>
      <w:r w:rsidRPr="009125BC">
        <w:t>Conclusioni</w:t>
      </w:r>
      <w:bookmarkEnd w:id="10"/>
    </w:p>
    <w:p w14:paraId="5FB17D88" w14:textId="3043EDE6" w:rsidR="000471E0" w:rsidRDefault="009423CC" w:rsidP="003A63CD">
      <w:pPr>
        <w:spacing w:after="100" w:afterAutospacing="1" w:line="276" w:lineRule="auto"/>
      </w:pPr>
      <w:r>
        <w:t xml:space="preserve">Le riflessioni fin qui svolte </w:t>
      </w:r>
      <w:r w:rsidR="00041123">
        <w:t>hanno messo in luce un sistema sanzionatorio integrato molto differente da quello che comunemente si voleva leggere nel “doppio binario”</w:t>
      </w:r>
      <w:r w:rsidR="00893502">
        <w:t>.</w:t>
      </w:r>
      <w:r w:rsidR="00041123">
        <w:t xml:space="preserve"> </w:t>
      </w:r>
      <w:r w:rsidR="00893502">
        <w:t>I</w:t>
      </w:r>
      <w:r w:rsidR="00041123">
        <w:t xml:space="preserve">l </w:t>
      </w:r>
      <w:r w:rsidR="00893502">
        <w:t xml:space="preserve">principio del </w:t>
      </w:r>
      <w:r w:rsidR="00041123" w:rsidRPr="00893502">
        <w:rPr>
          <w:i/>
        </w:rPr>
        <w:t>ne bis in idem</w:t>
      </w:r>
      <w:r w:rsidR="00893502">
        <w:t xml:space="preserve">, che a norma dell’art. 187 </w:t>
      </w:r>
      <w:r w:rsidR="00893502" w:rsidRPr="00893502">
        <w:rPr>
          <w:i/>
        </w:rPr>
        <w:t>terdecies</w:t>
      </w:r>
      <w:r w:rsidR="00893502">
        <w:t xml:space="preserve"> del T.U.F. sembrava </w:t>
      </w:r>
      <w:r w:rsidR="00B468A1">
        <w:t>essere ridotto soltanto</w:t>
      </w:r>
      <w:r w:rsidR="00893502">
        <w:t xml:space="preserve"> all’applicazione della sanzione più </w:t>
      </w:r>
      <w:r w:rsidR="00B468A1">
        <w:t>elevata</w:t>
      </w:r>
      <w:r w:rsidR="00D043C0">
        <w:t xml:space="preserve"> tra quella penale e quella amministrativa</w:t>
      </w:r>
      <w:r w:rsidR="00893502">
        <w:t>, ha in realtà un contenuto ben più ampio</w:t>
      </w:r>
      <w:r w:rsidR="00D043C0">
        <w:t>. Infatti</w:t>
      </w:r>
      <w:r w:rsidR="00204F45">
        <w:t>,</w:t>
      </w:r>
      <w:r w:rsidR="00D043C0">
        <w:t xml:space="preserve"> da un lato </w:t>
      </w:r>
      <w:r w:rsidR="00204F45">
        <w:t>la nozione di reato, almeno all’interno della Convenzione EDU, dovrà essere letta in un’ottica sostanzialistica, dall’altro essa avrà un contenuto anche processuale.</w:t>
      </w:r>
      <w:r w:rsidR="00893502">
        <w:t xml:space="preserve"> </w:t>
      </w:r>
      <w:r w:rsidR="00204F45">
        <w:t>Partendo da tali assunti</w:t>
      </w:r>
      <w:r w:rsidR="000471E0">
        <w:t xml:space="preserve"> ed in un’ottica di rispetto dei diritti umani da parte degli sta</w:t>
      </w:r>
      <w:r w:rsidR="00204F45">
        <w:t>ti aderenti alla Convenzione</w:t>
      </w:r>
      <w:r w:rsidR="000471E0">
        <w:t xml:space="preserve">, la Corte EDU è giunta alla conclusione che sussiste un rapporto di specialità tra illecito penale ed amministrativo. </w:t>
      </w:r>
    </w:p>
    <w:p w14:paraId="649123BB" w14:textId="0F6B1A4C" w:rsidR="007832A7" w:rsidRDefault="000471E0" w:rsidP="003A63CD">
      <w:pPr>
        <w:spacing w:after="100" w:afterAutospacing="1" w:line="276" w:lineRule="auto"/>
      </w:pPr>
      <w:r>
        <w:t>La soluzione del rapporto tra illeciti in base al principio di specialità era già stata proposta da una parte della dottrina ed era comunque deducibile dagli effetti che producono le</w:t>
      </w:r>
      <w:r w:rsidR="00893502">
        <w:t xml:space="preserve"> prassi legittime</w:t>
      </w:r>
      <w:r w:rsidR="002A6D6E">
        <w:t xml:space="preserve"> tanto con riferimento al delitto</w:t>
      </w:r>
      <w:r w:rsidR="002A495C">
        <w:t>,</w:t>
      </w:r>
      <w:r w:rsidR="002A6D6E">
        <w:t xml:space="preserve"> quanto rispetto all’illecito amministrativo. Ciò costituiva una</w:t>
      </w:r>
      <w:r>
        <w:t xml:space="preserve"> prima</w:t>
      </w:r>
      <w:r w:rsidR="002A6D6E">
        <w:t xml:space="preserve"> ed efficace</w:t>
      </w:r>
      <w:r>
        <w:t xml:space="preserve"> </w:t>
      </w:r>
      <w:r w:rsidR="00893502">
        <w:t>chiave di lettura</w:t>
      </w:r>
      <w:r w:rsidR="000311DE">
        <w:t xml:space="preserve"> del rapporto tra </w:t>
      </w:r>
      <w:r w:rsidR="002A6D6E">
        <w:t xml:space="preserve">norme, sancendo la necessità che, in forza del carattere di </w:t>
      </w:r>
      <w:r w:rsidR="002A6D6E" w:rsidRPr="002A6D6E">
        <w:rPr>
          <w:i/>
        </w:rPr>
        <w:t>extrema ratio</w:t>
      </w:r>
      <w:r w:rsidR="002A6D6E">
        <w:t xml:space="preserve"> del diritto penale, il </w:t>
      </w:r>
      <w:r w:rsidR="000311DE">
        <w:t xml:space="preserve">reato </w:t>
      </w:r>
      <w:r w:rsidR="002A6D6E">
        <w:t>abbia un’applicazione necessariamente ricompresa nell’i</w:t>
      </w:r>
      <w:r w:rsidR="000311DE">
        <w:t>llecito amministrativo.</w:t>
      </w:r>
      <w:r w:rsidR="002A6D6E">
        <w:t xml:space="preserve"> Tale interpretazione è l’unica ammissibile a seguito della pronuncia della Corte EDU</w:t>
      </w:r>
      <w:r w:rsidR="00BE7EC8">
        <w:t>, che pure lascia aperte molte questioni di tipo processuale.</w:t>
      </w:r>
    </w:p>
    <w:p w14:paraId="4992D1F7" w14:textId="1BF3C325" w:rsidR="00041123" w:rsidRPr="00830147" w:rsidRDefault="00D043C0" w:rsidP="003A63CD">
      <w:pPr>
        <w:spacing w:after="100" w:afterAutospacing="1" w:line="276" w:lineRule="auto"/>
        <w:rPr>
          <w:rFonts w:cs="Times New Roman"/>
        </w:rPr>
      </w:pPr>
      <w:r>
        <w:t xml:space="preserve">In primo luogo sorge il dubbio del rispetto </w:t>
      </w:r>
      <w:r w:rsidR="00204F45">
        <w:t>dei principi</w:t>
      </w:r>
      <w:r w:rsidR="00A14E89">
        <w:t xml:space="preserve"> processuali</w:t>
      </w:r>
      <w:r w:rsidR="00204F45">
        <w:t xml:space="preserve"> minimi nell’accertamento dell’illecito amministrativo</w:t>
      </w:r>
      <w:r w:rsidR="00A14E89">
        <w:t xml:space="preserve">. Anche se la pronuncia considera “sanato” il procedimento a seguito del procedimento in opposizione avanti alla Corte d’Appello, residuando la sola contestazione dell’assenza di un’udienza pubblica, si deve notare come l’opinione dissenziente adduca persuasive critiche ad una simile soluzione, che non garantirebbe a sufficienza il diritto al contraddittorio dell’opponente. </w:t>
      </w:r>
    </w:p>
    <w:p w14:paraId="69BF51FC" w14:textId="514AB96C" w:rsidR="00926A4D" w:rsidRDefault="00814C2D" w:rsidP="003A63CD">
      <w:pPr>
        <w:pStyle w:val="Default"/>
        <w:widowControl/>
        <w:spacing w:after="100" w:afterAutospacing="1" w:line="276" w:lineRule="auto"/>
        <w:ind w:firstLine="454"/>
        <w:jc w:val="both"/>
        <w:rPr>
          <w:rFonts w:ascii="Times New Roman" w:hAnsi="Times New Roman" w:cs="Times New Roman"/>
        </w:rPr>
      </w:pPr>
      <w:r w:rsidRPr="00830147">
        <w:rPr>
          <w:rFonts w:ascii="Times New Roman" w:hAnsi="Times New Roman" w:cs="Times New Roman"/>
        </w:rPr>
        <w:t>Un</w:t>
      </w:r>
      <w:r w:rsidR="0024067A">
        <w:rPr>
          <w:rFonts w:ascii="Times New Roman" w:hAnsi="Times New Roman" w:cs="Times New Roman"/>
        </w:rPr>
        <w:t xml:space="preserve"> altro</w:t>
      </w:r>
      <w:r w:rsidR="00A043EF">
        <w:rPr>
          <w:rFonts w:ascii="Times New Roman" w:hAnsi="Times New Roman" w:cs="Times New Roman"/>
        </w:rPr>
        <w:t xml:space="preserve"> aspetto del medesimo</w:t>
      </w:r>
      <w:r w:rsidRPr="00830147">
        <w:rPr>
          <w:rFonts w:ascii="Times New Roman" w:hAnsi="Times New Roman" w:cs="Times New Roman"/>
        </w:rPr>
        <w:t xml:space="preserve"> problema</w:t>
      </w:r>
      <w:r w:rsidR="0024067A">
        <w:rPr>
          <w:rFonts w:ascii="Times New Roman" w:hAnsi="Times New Roman" w:cs="Times New Roman"/>
        </w:rPr>
        <w:t>, legato però al diritto processuale penale,</w:t>
      </w:r>
      <w:r w:rsidR="00C457FF">
        <w:rPr>
          <w:rFonts w:ascii="Times New Roman" w:hAnsi="Times New Roman" w:cs="Times New Roman"/>
        </w:rPr>
        <w:t xml:space="preserve"> </w:t>
      </w:r>
      <w:r w:rsidR="00C457FF" w:rsidRPr="00830147">
        <w:rPr>
          <w:rFonts w:ascii="Times New Roman" w:hAnsi="Times New Roman" w:cs="Times New Roman"/>
        </w:rPr>
        <w:t>è la possibil</w:t>
      </w:r>
      <w:r w:rsidR="00C457FF">
        <w:rPr>
          <w:rFonts w:ascii="Times New Roman" w:hAnsi="Times New Roman" w:cs="Times New Roman"/>
        </w:rPr>
        <w:t>ità che l’accertamento dell’illecito amministrativo avvenga in</w:t>
      </w:r>
      <w:r w:rsidR="00C457FF" w:rsidRPr="00830147">
        <w:rPr>
          <w:rFonts w:ascii="Times New Roman" w:hAnsi="Times New Roman" w:cs="Times New Roman"/>
        </w:rPr>
        <w:t xml:space="preserve"> violazione della presunzione</w:t>
      </w:r>
      <w:r w:rsidR="0024067A">
        <w:rPr>
          <w:rFonts w:ascii="Times New Roman" w:hAnsi="Times New Roman" w:cs="Times New Roman"/>
        </w:rPr>
        <w:t xml:space="preserve"> di innocenza</w:t>
      </w:r>
      <w:r w:rsidR="002A495C">
        <w:rPr>
          <w:rFonts w:ascii="Times New Roman" w:hAnsi="Times New Roman" w:cs="Times New Roman"/>
        </w:rPr>
        <w:t>, cardine del processo penale</w:t>
      </w:r>
      <w:r w:rsidR="0014220C">
        <w:rPr>
          <w:rFonts w:ascii="Times New Roman" w:hAnsi="Times New Roman" w:cs="Times New Roman"/>
        </w:rPr>
        <w:t xml:space="preserve">. </w:t>
      </w:r>
      <w:r w:rsidR="002A495C">
        <w:rPr>
          <w:rFonts w:ascii="Times New Roman" w:hAnsi="Times New Roman" w:cs="Times New Roman"/>
        </w:rPr>
        <w:t>La</w:t>
      </w:r>
      <w:r w:rsidR="0014220C">
        <w:rPr>
          <w:rFonts w:ascii="Times New Roman" w:hAnsi="Times New Roman" w:cs="Times New Roman"/>
        </w:rPr>
        <w:t xml:space="preserve"> questione </w:t>
      </w:r>
      <w:r w:rsidR="00C457FF">
        <w:rPr>
          <w:rFonts w:ascii="Times New Roman" w:hAnsi="Times New Roman" w:cs="Times New Roman"/>
        </w:rPr>
        <w:t>non</w:t>
      </w:r>
      <w:r w:rsidR="0014220C">
        <w:rPr>
          <w:rFonts w:ascii="Times New Roman" w:hAnsi="Times New Roman" w:cs="Times New Roman"/>
        </w:rPr>
        <w:t xml:space="preserve"> è stata</w:t>
      </w:r>
      <w:r w:rsidR="00C457FF">
        <w:rPr>
          <w:rFonts w:ascii="Times New Roman" w:hAnsi="Times New Roman" w:cs="Times New Roman"/>
        </w:rPr>
        <w:t xml:space="preserve"> ancora esaminata né dalla</w:t>
      </w:r>
      <w:r w:rsidRPr="00830147">
        <w:rPr>
          <w:rFonts w:ascii="Times New Roman" w:hAnsi="Times New Roman" w:cs="Times New Roman"/>
        </w:rPr>
        <w:t xml:space="preserve"> dottrina </w:t>
      </w:r>
      <w:r w:rsidR="00C457FF">
        <w:rPr>
          <w:rFonts w:ascii="Times New Roman" w:hAnsi="Times New Roman" w:cs="Times New Roman"/>
        </w:rPr>
        <w:t>né dal</w:t>
      </w:r>
      <w:r w:rsidRPr="00830147">
        <w:rPr>
          <w:rFonts w:ascii="Times New Roman" w:hAnsi="Times New Roman" w:cs="Times New Roman"/>
        </w:rPr>
        <w:t>la giurisprudenza</w:t>
      </w:r>
      <w:r w:rsidR="0014220C">
        <w:rPr>
          <w:rFonts w:ascii="Times New Roman" w:hAnsi="Times New Roman" w:cs="Times New Roman"/>
        </w:rPr>
        <w:t xml:space="preserve"> e</w:t>
      </w:r>
      <w:r w:rsidR="000471E0">
        <w:rPr>
          <w:rFonts w:ascii="Times New Roman" w:hAnsi="Times New Roman" w:cs="Times New Roman"/>
        </w:rPr>
        <w:t xml:space="preserve"> non ha trovato spazio nel presente scritto</w:t>
      </w:r>
      <w:r w:rsidRPr="00830147">
        <w:rPr>
          <w:rFonts w:ascii="Times New Roman" w:hAnsi="Times New Roman" w:cs="Times New Roman"/>
        </w:rPr>
        <w:t xml:space="preserve">. </w:t>
      </w:r>
      <w:r w:rsidR="0024067A">
        <w:rPr>
          <w:rFonts w:ascii="Times New Roman" w:hAnsi="Times New Roman" w:cs="Times New Roman"/>
        </w:rPr>
        <w:t>In questa sede si può</w:t>
      </w:r>
      <w:r w:rsidR="00E50CB1">
        <w:rPr>
          <w:rFonts w:ascii="Times New Roman" w:hAnsi="Times New Roman" w:cs="Times New Roman"/>
        </w:rPr>
        <w:t xml:space="preserve"> brevemente accennare</w:t>
      </w:r>
      <w:r w:rsidR="0024067A">
        <w:rPr>
          <w:rFonts w:ascii="Times New Roman" w:hAnsi="Times New Roman" w:cs="Times New Roman"/>
        </w:rPr>
        <w:t xml:space="preserve"> che se l’illecito amministrativo di cui all’art. 187 </w:t>
      </w:r>
      <w:r w:rsidR="0024067A" w:rsidRPr="0024067A">
        <w:rPr>
          <w:rFonts w:ascii="Times New Roman" w:hAnsi="Times New Roman" w:cs="Times New Roman"/>
          <w:i/>
        </w:rPr>
        <w:t>ter</w:t>
      </w:r>
      <w:r w:rsidR="0024067A">
        <w:rPr>
          <w:rFonts w:ascii="Times New Roman" w:hAnsi="Times New Roman" w:cs="Times New Roman"/>
        </w:rPr>
        <w:t xml:space="preserve"> del T.U.F. ha natura</w:t>
      </w:r>
      <w:r w:rsidR="002A495C">
        <w:rPr>
          <w:rFonts w:ascii="Times New Roman" w:hAnsi="Times New Roman" w:cs="Times New Roman"/>
        </w:rPr>
        <w:t xml:space="preserve"> sostanzialmente</w:t>
      </w:r>
      <w:r w:rsidR="0024067A">
        <w:rPr>
          <w:rFonts w:ascii="Times New Roman" w:hAnsi="Times New Roman" w:cs="Times New Roman"/>
        </w:rPr>
        <w:t xml:space="preserve"> penale, </w:t>
      </w:r>
      <w:r w:rsidR="00926A4D" w:rsidRPr="00830147">
        <w:rPr>
          <w:rFonts w:ascii="Times New Roman" w:hAnsi="Times New Roman" w:cs="Times New Roman"/>
        </w:rPr>
        <w:t xml:space="preserve">almeno ai fini della Convenzione EDU, </w:t>
      </w:r>
      <w:r w:rsidR="002A495C">
        <w:rPr>
          <w:rFonts w:ascii="Times New Roman" w:hAnsi="Times New Roman" w:cs="Times New Roman"/>
        </w:rPr>
        <w:t>dovrebbero essere ritenute</w:t>
      </w:r>
      <w:r w:rsidR="00926A4D" w:rsidRPr="00830147">
        <w:rPr>
          <w:rFonts w:ascii="Times New Roman" w:hAnsi="Times New Roman" w:cs="Times New Roman"/>
        </w:rPr>
        <w:t xml:space="preserve"> applicabili </w:t>
      </w:r>
      <w:r w:rsidR="00926A4D" w:rsidRPr="00830147">
        <w:rPr>
          <w:rFonts w:ascii="Times New Roman" w:hAnsi="Times New Roman" w:cs="Times New Roman"/>
          <w:i/>
        </w:rPr>
        <w:t>in toto</w:t>
      </w:r>
      <w:r w:rsidR="00926A4D" w:rsidRPr="00830147">
        <w:rPr>
          <w:rFonts w:ascii="Times New Roman" w:hAnsi="Times New Roman" w:cs="Times New Roman"/>
        </w:rPr>
        <w:t xml:space="preserve"> le disposizioni sull’equo processo ed in particolare il secondo comma dell’art. 6 </w:t>
      </w:r>
      <w:r w:rsidR="00E50CB1">
        <w:rPr>
          <w:rFonts w:ascii="Times New Roman" w:hAnsi="Times New Roman" w:cs="Times New Roman"/>
        </w:rPr>
        <w:t xml:space="preserve">di detta </w:t>
      </w:r>
      <w:r w:rsidR="005071AF" w:rsidRPr="00830147">
        <w:rPr>
          <w:rFonts w:ascii="Times New Roman" w:hAnsi="Times New Roman" w:cs="Times New Roman"/>
        </w:rPr>
        <w:t>Convenzione</w:t>
      </w:r>
      <w:r w:rsidR="005071AF" w:rsidRPr="00830147">
        <w:rPr>
          <w:rStyle w:val="Rimandonotaapidipagina"/>
          <w:rFonts w:ascii="Times New Roman" w:hAnsi="Times New Roman" w:cs="Times New Roman"/>
        </w:rPr>
        <w:footnoteReference w:id="130"/>
      </w:r>
      <w:r w:rsidR="00C25E8C">
        <w:rPr>
          <w:rFonts w:ascii="Times New Roman" w:hAnsi="Times New Roman" w:cs="Times New Roman"/>
        </w:rPr>
        <w:t>. Tale articolo, stabilendo la presunzione di innocenza in materia penale,</w:t>
      </w:r>
      <w:r w:rsidR="005071AF" w:rsidRPr="00830147">
        <w:rPr>
          <w:rFonts w:ascii="Times New Roman" w:hAnsi="Times New Roman" w:cs="Times New Roman"/>
        </w:rPr>
        <w:t xml:space="preserve"> </w:t>
      </w:r>
      <w:r w:rsidR="00E50CB1">
        <w:rPr>
          <w:rFonts w:ascii="Times New Roman" w:hAnsi="Times New Roman" w:cs="Times New Roman"/>
        </w:rPr>
        <w:t>implica</w:t>
      </w:r>
      <w:r w:rsidR="005071AF" w:rsidRPr="00830147">
        <w:rPr>
          <w:rFonts w:ascii="Times New Roman" w:hAnsi="Times New Roman" w:cs="Times New Roman"/>
        </w:rPr>
        <w:t xml:space="preserve"> </w:t>
      </w:r>
      <w:r w:rsidR="00C25E8C">
        <w:rPr>
          <w:rFonts w:ascii="Times New Roman" w:hAnsi="Times New Roman" w:cs="Times New Roman"/>
        </w:rPr>
        <w:t>anche l’</w:t>
      </w:r>
      <w:r w:rsidR="00E50CB1">
        <w:rPr>
          <w:rFonts w:ascii="Times New Roman" w:hAnsi="Times New Roman" w:cs="Times New Roman"/>
        </w:rPr>
        <w:t>onere per l’</w:t>
      </w:r>
      <w:r w:rsidR="00C25E8C">
        <w:rPr>
          <w:rFonts w:ascii="Times New Roman" w:hAnsi="Times New Roman" w:cs="Times New Roman"/>
        </w:rPr>
        <w:t xml:space="preserve">accusa </w:t>
      </w:r>
      <w:r w:rsidR="00E50CB1">
        <w:rPr>
          <w:rFonts w:ascii="Times New Roman" w:hAnsi="Times New Roman" w:cs="Times New Roman"/>
        </w:rPr>
        <w:t>di</w:t>
      </w:r>
      <w:r w:rsidR="00C25E8C">
        <w:rPr>
          <w:rFonts w:ascii="Times New Roman" w:hAnsi="Times New Roman" w:cs="Times New Roman"/>
        </w:rPr>
        <w:t xml:space="preserve"> provare i </w:t>
      </w:r>
      <w:r w:rsidR="00E50CB1">
        <w:rPr>
          <w:rFonts w:ascii="Times New Roman" w:hAnsi="Times New Roman" w:cs="Times New Roman"/>
        </w:rPr>
        <w:t>fatti a fondamento della proprio potere sanzionatorio.</w:t>
      </w:r>
    </w:p>
    <w:p w14:paraId="1B15B78B" w14:textId="0C42874C" w:rsidR="008F64A3" w:rsidRDefault="00F81CA6" w:rsidP="003A63CD">
      <w:pPr>
        <w:pStyle w:val="Default"/>
        <w:widowControl/>
        <w:spacing w:after="100" w:afterAutospacing="1" w:line="276" w:lineRule="auto"/>
        <w:ind w:firstLine="454"/>
        <w:jc w:val="both"/>
        <w:rPr>
          <w:rFonts w:ascii="Times New Roman" w:hAnsi="Times New Roman" w:cs="Times New Roman"/>
        </w:rPr>
      </w:pPr>
      <w:r>
        <w:rPr>
          <w:rFonts w:ascii="Times New Roman" w:hAnsi="Times New Roman" w:cs="Times New Roman"/>
        </w:rPr>
        <w:t>Come si è visto esaminando la sentenza Grande Stevens</w:t>
      </w:r>
      <w:r w:rsidR="003A63CD">
        <w:rPr>
          <w:rStyle w:val="Rimandonotaapidipagina"/>
          <w:rFonts w:ascii="Times New Roman" w:hAnsi="Times New Roman" w:cs="Times New Roman"/>
        </w:rPr>
        <w:footnoteReference w:id="131"/>
      </w:r>
      <w:r>
        <w:rPr>
          <w:rFonts w:ascii="Times New Roman" w:hAnsi="Times New Roman" w:cs="Times New Roman"/>
        </w:rPr>
        <w:t xml:space="preserve">, le garanzie processuali non sono soddisfatte dal procedimento della CONSOB, ma dalla possibilità </w:t>
      </w:r>
      <w:r w:rsidR="00B269B1">
        <w:rPr>
          <w:rFonts w:ascii="Times New Roman" w:hAnsi="Times New Roman" w:cs="Times New Roman"/>
        </w:rPr>
        <w:t>di oppo</w:t>
      </w:r>
      <w:r w:rsidR="0014220C">
        <w:rPr>
          <w:rFonts w:ascii="Times New Roman" w:hAnsi="Times New Roman" w:cs="Times New Roman"/>
        </w:rPr>
        <w:t>rsi</w:t>
      </w:r>
      <w:r w:rsidR="00B269B1">
        <w:rPr>
          <w:rFonts w:ascii="Times New Roman" w:hAnsi="Times New Roman" w:cs="Times New Roman"/>
        </w:rPr>
        <w:t xml:space="preserve"> alla sanzione amministrativa</w:t>
      </w:r>
      <w:r w:rsidR="0023498B">
        <w:rPr>
          <w:rFonts w:ascii="Times New Roman" w:hAnsi="Times New Roman" w:cs="Times New Roman"/>
        </w:rPr>
        <w:t xml:space="preserve"> avanti alla Corte d’Appello civile.</w:t>
      </w:r>
      <w:r w:rsidR="00E50CB1">
        <w:rPr>
          <w:rFonts w:ascii="Times New Roman" w:hAnsi="Times New Roman" w:cs="Times New Roman"/>
        </w:rPr>
        <w:t xml:space="preserve"> Dunque anche la garanzia della presunzione di innocenza dovrebbe trovare spazio in tale sede e l’onere della prova dovrebbe </w:t>
      </w:r>
      <w:r w:rsidR="00A043EF">
        <w:rPr>
          <w:rFonts w:ascii="Times New Roman" w:hAnsi="Times New Roman" w:cs="Times New Roman"/>
        </w:rPr>
        <w:t>gravare su</w:t>
      </w:r>
      <w:r w:rsidR="00E50CB1">
        <w:rPr>
          <w:rFonts w:ascii="Times New Roman" w:hAnsi="Times New Roman" w:cs="Times New Roman"/>
        </w:rPr>
        <w:t xml:space="preserve"> chi intende esercitare la </w:t>
      </w:r>
      <w:r w:rsidR="00A043EF">
        <w:rPr>
          <w:rFonts w:ascii="Times New Roman" w:hAnsi="Times New Roman" w:cs="Times New Roman"/>
        </w:rPr>
        <w:t>propria</w:t>
      </w:r>
      <w:r w:rsidR="00E50CB1">
        <w:rPr>
          <w:rFonts w:ascii="Times New Roman" w:hAnsi="Times New Roman" w:cs="Times New Roman"/>
        </w:rPr>
        <w:t xml:space="preserve"> pretesa punitiva.</w:t>
      </w:r>
      <w:r w:rsidR="0023498B">
        <w:rPr>
          <w:rFonts w:ascii="Times New Roman" w:hAnsi="Times New Roman" w:cs="Times New Roman"/>
        </w:rPr>
        <w:t xml:space="preserve"> </w:t>
      </w:r>
      <w:r w:rsidR="00B269B1">
        <w:rPr>
          <w:rFonts w:ascii="Times New Roman" w:hAnsi="Times New Roman" w:cs="Times New Roman"/>
        </w:rPr>
        <w:t xml:space="preserve">La </w:t>
      </w:r>
      <w:r w:rsidR="00D060B7">
        <w:rPr>
          <w:rFonts w:ascii="Times New Roman" w:hAnsi="Times New Roman" w:cs="Times New Roman"/>
        </w:rPr>
        <w:t>realtà è</w:t>
      </w:r>
      <w:r w:rsidR="00B269B1">
        <w:rPr>
          <w:rFonts w:ascii="Times New Roman" w:hAnsi="Times New Roman" w:cs="Times New Roman"/>
        </w:rPr>
        <w:t xml:space="preserve"> però che in tale procedimento </w:t>
      </w:r>
      <w:r w:rsidR="00D060B7">
        <w:rPr>
          <w:rFonts w:ascii="Times New Roman" w:hAnsi="Times New Roman" w:cs="Times New Roman"/>
        </w:rPr>
        <w:t xml:space="preserve">civile, </w:t>
      </w:r>
      <w:r w:rsidR="00B269B1">
        <w:rPr>
          <w:rFonts w:ascii="Times New Roman" w:hAnsi="Times New Roman" w:cs="Times New Roman"/>
        </w:rPr>
        <w:t>il sanzionato rivest</w:t>
      </w:r>
      <w:r w:rsidR="00D060B7">
        <w:rPr>
          <w:rFonts w:ascii="Times New Roman" w:hAnsi="Times New Roman" w:cs="Times New Roman"/>
        </w:rPr>
        <w:t>e</w:t>
      </w:r>
      <w:r w:rsidR="00B269B1">
        <w:rPr>
          <w:rFonts w:ascii="Times New Roman" w:hAnsi="Times New Roman" w:cs="Times New Roman"/>
        </w:rPr>
        <w:t xml:space="preserve"> il ruolo di </w:t>
      </w:r>
      <w:r w:rsidR="00C83610">
        <w:rPr>
          <w:rFonts w:ascii="Times New Roman" w:hAnsi="Times New Roman" w:cs="Times New Roman"/>
        </w:rPr>
        <w:t xml:space="preserve">opponente e quindi </w:t>
      </w:r>
      <w:r w:rsidR="00D060B7">
        <w:rPr>
          <w:rFonts w:ascii="Times New Roman" w:hAnsi="Times New Roman" w:cs="Times New Roman"/>
        </w:rPr>
        <w:t xml:space="preserve">processualmente </w:t>
      </w:r>
      <w:r w:rsidR="00C83610">
        <w:rPr>
          <w:rFonts w:ascii="Times New Roman" w:hAnsi="Times New Roman" w:cs="Times New Roman"/>
        </w:rPr>
        <w:t xml:space="preserve">di </w:t>
      </w:r>
      <w:r w:rsidR="00B269B1">
        <w:rPr>
          <w:rFonts w:ascii="Times New Roman" w:hAnsi="Times New Roman" w:cs="Times New Roman"/>
        </w:rPr>
        <w:t>attore</w:t>
      </w:r>
      <w:r w:rsidR="00D060B7">
        <w:rPr>
          <w:rFonts w:ascii="Times New Roman" w:hAnsi="Times New Roman" w:cs="Times New Roman"/>
        </w:rPr>
        <w:t>, fatto che</w:t>
      </w:r>
      <w:r w:rsidR="00B269B1">
        <w:rPr>
          <w:rFonts w:ascii="Times New Roman" w:hAnsi="Times New Roman" w:cs="Times New Roman"/>
        </w:rPr>
        <w:t xml:space="preserve"> </w:t>
      </w:r>
      <w:r w:rsidR="00332847">
        <w:rPr>
          <w:rFonts w:ascii="Times New Roman" w:hAnsi="Times New Roman" w:cs="Times New Roman"/>
        </w:rPr>
        <w:t>pone a suo carico l’onere</w:t>
      </w:r>
      <w:r w:rsidR="004B6C2F">
        <w:rPr>
          <w:rFonts w:ascii="Times New Roman" w:hAnsi="Times New Roman" w:cs="Times New Roman"/>
        </w:rPr>
        <w:t xml:space="preserve"> della prova</w:t>
      </w:r>
      <w:r w:rsidR="00D060B7">
        <w:rPr>
          <w:rFonts w:ascii="Times New Roman" w:hAnsi="Times New Roman" w:cs="Times New Roman"/>
        </w:rPr>
        <w:t>, come stabilito da</w:t>
      </w:r>
      <w:r w:rsidR="00A043EF">
        <w:rPr>
          <w:rFonts w:ascii="Times New Roman" w:hAnsi="Times New Roman" w:cs="Times New Roman"/>
        </w:rPr>
        <w:t>ll’art. 2697 c.c.</w:t>
      </w:r>
      <w:r w:rsidR="00A043EF">
        <w:rPr>
          <w:rStyle w:val="Rimandonotaapidipagina"/>
          <w:rFonts w:ascii="Times New Roman" w:hAnsi="Times New Roman" w:cs="Times New Roman"/>
        </w:rPr>
        <w:footnoteReference w:id="132"/>
      </w:r>
      <w:r w:rsidR="00D060B7">
        <w:rPr>
          <w:rFonts w:ascii="Times New Roman" w:hAnsi="Times New Roman" w:cs="Times New Roman"/>
        </w:rPr>
        <w:t xml:space="preserve"> </w:t>
      </w:r>
      <w:r w:rsidR="004B6C2F">
        <w:rPr>
          <w:rFonts w:ascii="Times New Roman" w:hAnsi="Times New Roman" w:cs="Times New Roman"/>
        </w:rPr>
        <w:t>e confermato anche dalla Corte di Cassazione</w:t>
      </w:r>
      <w:r w:rsidR="004B6C2F">
        <w:rPr>
          <w:rStyle w:val="Rimandonotaapidipagina"/>
          <w:rFonts w:ascii="Times New Roman" w:hAnsi="Times New Roman" w:cs="Times New Roman"/>
        </w:rPr>
        <w:footnoteReference w:id="133"/>
      </w:r>
      <w:r w:rsidR="004B6C2F">
        <w:rPr>
          <w:rFonts w:ascii="Times New Roman" w:hAnsi="Times New Roman" w:cs="Times New Roman"/>
        </w:rPr>
        <w:t>.</w:t>
      </w:r>
    </w:p>
    <w:p w14:paraId="08445C5E" w14:textId="77777777" w:rsidR="00E67064" w:rsidRDefault="008F64A3" w:rsidP="003A63CD">
      <w:pPr>
        <w:pStyle w:val="Default"/>
        <w:widowControl/>
        <w:spacing w:after="100" w:afterAutospacing="1" w:line="276" w:lineRule="auto"/>
        <w:ind w:firstLine="454"/>
        <w:jc w:val="both"/>
        <w:rPr>
          <w:rFonts w:ascii="Times New Roman" w:hAnsi="Times New Roman" w:cs="Times New Roman"/>
        </w:rPr>
      </w:pPr>
      <w:r>
        <w:rPr>
          <w:rFonts w:ascii="Times New Roman" w:hAnsi="Times New Roman" w:cs="Times New Roman"/>
        </w:rPr>
        <w:t>In altre parole</w:t>
      </w:r>
      <w:r w:rsidR="00693AC8">
        <w:rPr>
          <w:rFonts w:ascii="Times New Roman" w:hAnsi="Times New Roman" w:cs="Times New Roman"/>
        </w:rPr>
        <w:t>,</w:t>
      </w:r>
      <w:r>
        <w:rPr>
          <w:rFonts w:ascii="Times New Roman" w:hAnsi="Times New Roman" w:cs="Times New Roman"/>
        </w:rPr>
        <w:t xml:space="preserve"> l’accusato</w:t>
      </w:r>
      <w:r w:rsidR="003B5FED">
        <w:rPr>
          <w:rFonts w:ascii="Times New Roman" w:hAnsi="Times New Roman" w:cs="Times New Roman"/>
        </w:rPr>
        <w:t xml:space="preserve"> di fatto</w:t>
      </w:r>
      <w:r>
        <w:rPr>
          <w:rFonts w:ascii="Times New Roman" w:hAnsi="Times New Roman" w:cs="Times New Roman"/>
        </w:rPr>
        <w:t xml:space="preserve"> sarà chiamato a sovv</w:t>
      </w:r>
      <w:r w:rsidR="00693AC8">
        <w:rPr>
          <w:rFonts w:ascii="Times New Roman" w:hAnsi="Times New Roman" w:cs="Times New Roman"/>
        </w:rPr>
        <w:t>ertire una decisione</w:t>
      </w:r>
      <w:r>
        <w:rPr>
          <w:rFonts w:ascii="Times New Roman" w:hAnsi="Times New Roman" w:cs="Times New Roman"/>
        </w:rPr>
        <w:t xml:space="preserve"> </w:t>
      </w:r>
      <w:r w:rsidR="00C2782C">
        <w:rPr>
          <w:rFonts w:ascii="Times New Roman" w:hAnsi="Times New Roman" w:cs="Times New Roman"/>
        </w:rPr>
        <w:t>già presa dalla CONSOB</w:t>
      </w:r>
      <w:r w:rsidR="00693AC8">
        <w:rPr>
          <w:rFonts w:ascii="Times New Roman" w:hAnsi="Times New Roman" w:cs="Times New Roman"/>
        </w:rPr>
        <w:t xml:space="preserve"> che</w:t>
      </w:r>
      <w:r w:rsidR="00C2782C">
        <w:rPr>
          <w:rFonts w:ascii="Times New Roman" w:hAnsi="Times New Roman" w:cs="Times New Roman"/>
        </w:rPr>
        <w:t>,</w:t>
      </w:r>
      <w:r w:rsidR="00693AC8">
        <w:rPr>
          <w:rFonts w:ascii="Times New Roman" w:hAnsi="Times New Roman" w:cs="Times New Roman"/>
        </w:rPr>
        <w:t xml:space="preserve"> </w:t>
      </w:r>
      <w:r w:rsidR="00C2782C">
        <w:rPr>
          <w:rFonts w:ascii="Times New Roman" w:hAnsi="Times New Roman" w:cs="Times New Roman"/>
        </w:rPr>
        <w:t>per la complessità della materia, la Corte presumerà</w:t>
      </w:r>
      <w:r w:rsidR="00693AC8">
        <w:rPr>
          <w:rFonts w:ascii="Times New Roman" w:hAnsi="Times New Roman" w:cs="Times New Roman"/>
        </w:rPr>
        <w:t xml:space="preserve"> legittima, </w:t>
      </w:r>
      <w:r w:rsidR="00C2782C">
        <w:rPr>
          <w:rFonts w:ascii="Times New Roman" w:hAnsi="Times New Roman" w:cs="Times New Roman"/>
        </w:rPr>
        <w:t>e con mezzi di gran lunga inferiori a quelli dell’opposto si troverà onerato a</w:t>
      </w:r>
      <w:r w:rsidR="00A043EF">
        <w:rPr>
          <w:rFonts w:ascii="Times New Roman" w:hAnsi="Times New Roman" w:cs="Times New Roman"/>
        </w:rPr>
        <w:t xml:space="preserve"> </w:t>
      </w:r>
      <w:r>
        <w:rPr>
          <w:rFonts w:ascii="Times New Roman" w:hAnsi="Times New Roman" w:cs="Times New Roman"/>
        </w:rPr>
        <w:t>dimostrare</w:t>
      </w:r>
      <w:r w:rsidR="00693AC8">
        <w:rPr>
          <w:rFonts w:ascii="Times New Roman" w:hAnsi="Times New Roman" w:cs="Times New Roman"/>
        </w:rPr>
        <w:t xml:space="preserve"> la sua infondatezza.</w:t>
      </w:r>
      <w:r w:rsidR="00C2782C">
        <w:rPr>
          <w:rFonts w:ascii="Times New Roman" w:hAnsi="Times New Roman" w:cs="Times New Roman"/>
        </w:rPr>
        <w:t xml:space="preserve"> È vero che in tali procedimenti civili di opposizione, alla figura dell’attore processuale non corrisponde quella dell’attore sostanziale (che rimane la CONSOB), ma essa ha la possibilità di produrre verbali di accertamento</w:t>
      </w:r>
      <w:r w:rsidR="00E67064">
        <w:rPr>
          <w:rFonts w:ascii="Times New Roman" w:hAnsi="Times New Roman" w:cs="Times New Roman"/>
        </w:rPr>
        <w:t xml:space="preserve"> civilisticamente fidefacienti, con un conseguente squilibrio probatorio</w:t>
      </w:r>
      <w:r w:rsidR="00E67064">
        <w:rPr>
          <w:rStyle w:val="Rimandonotaapidipagina"/>
          <w:rFonts w:ascii="Times New Roman" w:hAnsi="Times New Roman" w:cs="Times New Roman"/>
        </w:rPr>
        <w:footnoteReference w:id="134"/>
      </w:r>
      <w:r w:rsidR="00E67064">
        <w:rPr>
          <w:rFonts w:ascii="Times New Roman" w:hAnsi="Times New Roman" w:cs="Times New Roman"/>
        </w:rPr>
        <w:t>.</w:t>
      </w:r>
      <w:r w:rsidR="00A043EF">
        <w:rPr>
          <w:rFonts w:ascii="Times New Roman" w:hAnsi="Times New Roman" w:cs="Times New Roman"/>
        </w:rPr>
        <w:t xml:space="preserve"> </w:t>
      </w:r>
    </w:p>
    <w:p w14:paraId="35424BA4" w14:textId="15737168" w:rsidR="00F81CA6" w:rsidRDefault="00332847" w:rsidP="003A63CD">
      <w:pPr>
        <w:pStyle w:val="Default"/>
        <w:widowControl/>
        <w:spacing w:after="100" w:afterAutospacing="1" w:line="276" w:lineRule="auto"/>
        <w:ind w:firstLine="454"/>
        <w:jc w:val="both"/>
        <w:rPr>
          <w:rFonts w:ascii="Times New Roman" w:hAnsi="Times New Roman" w:cs="Times New Roman"/>
        </w:rPr>
      </w:pPr>
      <w:r>
        <w:rPr>
          <w:rFonts w:ascii="Times New Roman" w:hAnsi="Times New Roman" w:cs="Times New Roman"/>
        </w:rPr>
        <w:t>Il risultato è una inversione</w:t>
      </w:r>
      <w:r w:rsidR="00E67064">
        <w:rPr>
          <w:rFonts w:ascii="Times New Roman" w:hAnsi="Times New Roman" w:cs="Times New Roman"/>
        </w:rPr>
        <w:t xml:space="preserve"> di fatto</w:t>
      </w:r>
      <w:r>
        <w:rPr>
          <w:rFonts w:ascii="Times New Roman" w:hAnsi="Times New Roman" w:cs="Times New Roman"/>
        </w:rPr>
        <w:t xml:space="preserve"> </w:t>
      </w:r>
      <w:r w:rsidR="00693AC8">
        <w:rPr>
          <w:rFonts w:ascii="Times New Roman" w:hAnsi="Times New Roman" w:cs="Times New Roman"/>
        </w:rPr>
        <w:t>dei</w:t>
      </w:r>
      <w:r>
        <w:rPr>
          <w:rFonts w:ascii="Times New Roman" w:hAnsi="Times New Roman" w:cs="Times New Roman"/>
        </w:rPr>
        <w:t xml:space="preserve"> ruoli tra accusatore ed accusato, </w:t>
      </w:r>
      <w:r w:rsidR="00E81EEC">
        <w:rPr>
          <w:rFonts w:ascii="Times New Roman" w:hAnsi="Times New Roman" w:cs="Times New Roman"/>
        </w:rPr>
        <w:t>inammissibile in un processo che si ritiene sostanzialmente</w:t>
      </w:r>
      <w:r w:rsidR="005F5241">
        <w:rPr>
          <w:rFonts w:ascii="Times New Roman" w:hAnsi="Times New Roman" w:cs="Times New Roman"/>
        </w:rPr>
        <w:t xml:space="preserve"> penale</w:t>
      </w:r>
      <w:r w:rsidR="00693AC8">
        <w:rPr>
          <w:rFonts w:ascii="Times New Roman" w:hAnsi="Times New Roman" w:cs="Times New Roman"/>
        </w:rPr>
        <w:t xml:space="preserve"> e che, a norma della giurisprudenza della Corte EDU, dovrebbe offrire </w:t>
      </w:r>
      <w:r w:rsidR="00E67064">
        <w:rPr>
          <w:rFonts w:ascii="Times New Roman" w:hAnsi="Times New Roman" w:cs="Times New Roman"/>
        </w:rPr>
        <w:t>le corrispondenti</w:t>
      </w:r>
      <w:r w:rsidR="00693AC8">
        <w:rPr>
          <w:rFonts w:ascii="Times New Roman" w:hAnsi="Times New Roman" w:cs="Times New Roman"/>
        </w:rPr>
        <w:t xml:space="preserve"> garanzie</w:t>
      </w:r>
      <w:r>
        <w:rPr>
          <w:rFonts w:ascii="Times New Roman" w:hAnsi="Times New Roman" w:cs="Times New Roman"/>
        </w:rPr>
        <w:t>.</w:t>
      </w:r>
    </w:p>
    <w:p w14:paraId="25444095" w14:textId="77777777" w:rsidR="00E91F46" w:rsidRDefault="00332847" w:rsidP="003A63CD">
      <w:pPr>
        <w:pStyle w:val="Default"/>
        <w:widowControl/>
        <w:spacing w:after="100" w:afterAutospacing="1" w:line="276" w:lineRule="auto"/>
        <w:ind w:firstLine="454"/>
        <w:jc w:val="both"/>
        <w:rPr>
          <w:rFonts w:ascii="Times New Roman" w:hAnsi="Times New Roman" w:cs="Times New Roman"/>
        </w:rPr>
      </w:pPr>
      <w:r>
        <w:rPr>
          <w:rFonts w:ascii="Times New Roman" w:hAnsi="Times New Roman" w:cs="Times New Roman"/>
        </w:rPr>
        <w:t xml:space="preserve">Significativo da questo punto di vista è il caso FIAT, in cui la Corte d’Appello, lungi dal ripetere </w:t>
      </w:r>
      <w:r w:rsidRPr="00332847">
        <w:rPr>
          <w:rFonts w:ascii="Times New Roman" w:hAnsi="Times New Roman" w:cs="Times New Roman"/>
          <w:i/>
        </w:rPr>
        <w:t>ex novo</w:t>
      </w:r>
      <w:r>
        <w:rPr>
          <w:rFonts w:ascii="Times New Roman" w:hAnsi="Times New Roman" w:cs="Times New Roman"/>
        </w:rPr>
        <w:t xml:space="preserve"> l’istruttoria, ha </w:t>
      </w:r>
      <w:r w:rsidR="00E81EEC">
        <w:rPr>
          <w:rFonts w:ascii="Times New Roman" w:hAnsi="Times New Roman" w:cs="Times New Roman"/>
        </w:rPr>
        <w:t>verificato</w:t>
      </w:r>
      <w:r>
        <w:rPr>
          <w:rFonts w:ascii="Times New Roman" w:hAnsi="Times New Roman" w:cs="Times New Roman"/>
        </w:rPr>
        <w:t xml:space="preserve"> la mera coerenza logica del procedimento amministrativo e la proporzionalità delle sanzioni irrogate, al pari di un</w:t>
      </w:r>
      <w:r w:rsidR="0099723E">
        <w:rPr>
          <w:rFonts w:ascii="Times New Roman" w:hAnsi="Times New Roman" w:cs="Times New Roman"/>
        </w:rPr>
        <w:t>a</w:t>
      </w:r>
      <w:r>
        <w:rPr>
          <w:rFonts w:ascii="Times New Roman" w:hAnsi="Times New Roman" w:cs="Times New Roman"/>
        </w:rPr>
        <w:t xml:space="preserve"> qualunque </w:t>
      </w:r>
      <w:r w:rsidR="0099723E">
        <w:rPr>
          <w:rFonts w:ascii="Times New Roman" w:hAnsi="Times New Roman" w:cs="Times New Roman"/>
        </w:rPr>
        <w:t>sanzione</w:t>
      </w:r>
      <w:r>
        <w:rPr>
          <w:rFonts w:ascii="Times New Roman" w:hAnsi="Times New Roman" w:cs="Times New Roman"/>
        </w:rPr>
        <w:t xml:space="preserve"> amministrativ</w:t>
      </w:r>
      <w:r w:rsidR="00E81EEC">
        <w:rPr>
          <w:rFonts w:ascii="Times New Roman" w:hAnsi="Times New Roman" w:cs="Times New Roman"/>
        </w:rPr>
        <w:t>a</w:t>
      </w:r>
      <w:r w:rsidR="0099723E">
        <w:rPr>
          <w:rFonts w:ascii="Times New Roman" w:hAnsi="Times New Roman" w:cs="Times New Roman"/>
        </w:rPr>
        <w:t>, che si presume legittima</w:t>
      </w:r>
      <w:r>
        <w:rPr>
          <w:rFonts w:ascii="Times New Roman" w:hAnsi="Times New Roman" w:cs="Times New Roman"/>
        </w:rPr>
        <w:t>.</w:t>
      </w:r>
      <w:r w:rsidR="0083483F">
        <w:rPr>
          <w:rFonts w:ascii="Times New Roman" w:hAnsi="Times New Roman" w:cs="Times New Roman"/>
        </w:rPr>
        <w:t xml:space="preserve"> La Corte d’Appello ha </w:t>
      </w:r>
      <w:r w:rsidR="00E91F46">
        <w:rPr>
          <w:rFonts w:ascii="Times New Roman" w:hAnsi="Times New Roman" w:cs="Times New Roman"/>
        </w:rPr>
        <w:t>considerato</w:t>
      </w:r>
      <w:r w:rsidR="0083483F">
        <w:rPr>
          <w:rFonts w:ascii="Times New Roman" w:hAnsi="Times New Roman" w:cs="Times New Roman"/>
        </w:rPr>
        <w:t xml:space="preserve"> pacifici i fatti su cui si basava il provvedimento della CONSOB, su cui pure gli opponenti sollevavano delle contestazioni, tanto da citare integralmente le </w:t>
      </w:r>
      <w:r w:rsidR="00E91F46">
        <w:rPr>
          <w:rFonts w:ascii="Times New Roman" w:hAnsi="Times New Roman" w:cs="Times New Roman"/>
        </w:rPr>
        <w:t>deposizioni (di membri CONSOB) nella sentenza.</w:t>
      </w:r>
      <w:r>
        <w:rPr>
          <w:rFonts w:ascii="Times New Roman" w:hAnsi="Times New Roman" w:cs="Times New Roman"/>
        </w:rPr>
        <w:t xml:space="preserve"> </w:t>
      </w:r>
    </w:p>
    <w:p w14:paraId="7DA6DEA2" w14:textId="728105E8" w:rsidR="005F5241" w:rsidRPr="009125BC" w:rsidRDefault="00332847" w:rsidP="009125BC">
      <w:pPr>
        <w:pStyle w:val="Default"/>
        <w:widowControl/>
        <w:spacing w:after="100" w:afterAutospacing="1" w:line="276" w:lineRule="auto"/>
        <w:ind w:firstLine="454"/>
        <w:jc w:val="both"/>
        <w:rPr>
          <w:rFonts w:ascii="Times New Roman" w:hAnsi="Times New Roman" w:cs="Times New Roman"/>
        </w:rPr>
      </w:pPr>
      <w:r>
        <w:rPr>
          <w:rFonts w:ascii="Times New Roman" w:hAnsi="Times New Roman" w:cs="Times New Roman"/>
        </w:rPr>
        <w:t>Se invece, come appare più rispettoso della presunzione di innocenza</w:t>
      </w:r>
      <w:r w:rsidR="00D2093D">
        <w:rPr>
          <w:rFonts w:ascii="Times New Roman" w:hAnsi="Times New Roman" w:cs="Times New Roman"/>
        </w:rPr>
        <w:t xml:space="preserve"> ed alla ripartizione civilistica degli oneri della prova in capo all’attore sostanziale</w:t>
      </w:r>
      <w:r>
        <w:rPr>
          <w:rFonts w:ascii="Times New Roman" w:hAnsi="Times New Roman" w:cs="Times New Roman"/>
        </w:rPr>
        <w:t>, la Corte d’Appello</w:t>
      </w:r>
      <w:r w:rsidR="0099723E">
        <w:rPr>
          <w:rFonts w:ascii="Times New Roman" w:hAnsi="Times New Roman" w:cs="Times New Roman"/>
        </w:rPr>
        <w:t xml:space="preserve"> avesse</w:t>
      </w:r>
      <w:r>
        <w:rPr>
          <w:rFonts w:ascii="Times New Roman" w:hAnsi="Times New Roman" w:cs="Times New Roman"/>
        </w:rPr>
        <w:t xml:space="preserve"> </w:t>
      </w:r>
      <w:r w:rsidR="0099723E">
        <w:rPr>
          <w:rFonts w:ascii="Times New Roman" w:hAnsi="Times New Roman" w:cs="Times New Roman"/>
        </w:rPr>
        <w:t>effettivamente deciso nel merito la controversia, essa non si sarebbe potuta limitare a confermare il provvedimento</w:t>
      </w:r>
      <w:r w:rsidR="00E81EEC">
        <w:rPr>
          <w:rFonts w:ascii="Times New Roman" w:hAnsi="Times New Roman" w:cs="Times New Roman"/>
        </w:rPr>
        <w:t>. Ma soprattutto</w:t>
      </w:r>
      <w:r w:rsidR="0099723E">
        <w:rPr>
          <w:rFonts w:ascii="Times New Roman" w:hAnsi="Times New Roman" w:cs="Times New Roman"/>
        </w:rPr>
        <w:t xml:space="preserve"> la CONSOB avrebbe </w:t>
      </w:r>
      <w:r w:rsidR="00E91F46">
        <w:rPr>
          <w:rFonts w:ascii="Times New Roman" w:hAnsi="Times New Roman" w:cs="Times New Roman"/>
        </w:rPr>
        <w:t>avuto</w:t>
      </w:r>
      <w:r w:rsidR="00D2093D">
        <w:rPr>
          <w:rFonts w:ascii="Times New Roman" w:hAnsi="Times New Roman" w:cs="Times New Roman"/>
        </w:rPr>
        <w:t xml:space="preserve"> effettivamente</w:t>
      </w:r>
      <w:r w:rsidR="00E91F46">
        <w:rPr>
          <w:rFonts w:ascii="Times New Roman" w:hAnsi="Times New Roman" w:cs="Times New Roman"/>
        </w:rPr>
        <w:t xml:space="preserve"> l’onere di</w:t>
      </w:r>
      <w:r w:rsidR="0099723E">
        <w:rPr>
          <w:rFonts w:ascii="Times New Roman" w:hAnsi="Times New Roman" w:cs="Times New Roman"/>
        </w:rPr>
        <w:t xml:space="preserve"> dimostrare nel processo la fondatezza della propria </w:t>
      </w:r>
      <w:r w:rsidR="00E81EEC">
        <w:rPr>
          <w:rFonts w:ascii="Times New Roman" w:hAnsi="Times New Roman" w:cs="Times New Roman"/>
        </w:rPr>
        <w:t>ricostruzione</w:t>
      </w:r>
      <w:r w:rsidR="00E91F46">
        <w:rPr>
          <w:rFonts w:ascii="Times New Roman" w:hAnsi="Times New Roman" w:cs="Times New Roman"/>
        </w:rPr>
        <w:t>, a seguito della quale gli opponenti avrebbero potuto insinuare nella Corte un ragionevole dubbio d’innocenza.</w:t>
      </w:r>
    </w:p>
    <w:p w14:paraId="5AF88618" w14:textId="79F533C5" w:rsidR="000D7F41" w:rsidRDefault="00AC3DD9" w:rsidP="003A63CD">
      <w:pPr>
        <w:spacing w:after="100" w:afterAutospacing="1" w:line="276" w:lineRule="auto"/>
        <w:rPr>
          <w:rFonts w:cs="Times New Roman"/>
        </w:rPr>
      </w:pPr>
      <w:r>
        <w:rPr>
          <w:rFonts w:cs="Times New Roman"/>
        </w:rPr>
        <w:t xml:space="preserve">Un modo per scongiurare i problemi discendenti dalla decisione della Corte EDU di ritenere sostanzialmente penale l’art. 187 </w:t>
      </w:r>
      <w:r w:rsidRPr="00AC3DD9">
        <w:rPr>
          <w:rFonts w:cs="Times New Roman"/>
          <w:i/>
        </w:rPr>
        <w:t>ter</w:t>
      </w:r>
      <w:r>
        <w:rPr>
          <w:rFonts w:cs="Times New Roman"/>
        </w:rPr>
        <w:t xml:space="preserve"> del T.U.F. è ridurre il</w:t>
      </w:r>
      <w:r w:rsidR="00B269B1">
        <w:rPr>
          <w:rFonts w:cs="Times New Roman"/>
        </w:rPr>
        <w:t xml:space="preserve"> quadro sanzionatorio, così da </w:t>
      </w:r>
      <w:r w:rsidR="00C83610">
        <w:rPr>
          <w:rFonts w:cs="Times New Roman"/>
        </w:rPr>
        <w:t>evitare la qualificazione sostanzialmente pe</w:t>
      </w:r>
      <w:r w:rsidR="00332847">
        <w:rPr>
          <w:rFonts w:cs="Times New Roman"/>
        </w:rPr>
        <w:t>nale dell’illecito amminist</w:t>
      </w:r>
      <w:r w:rsidR="000D7F41">
        <w:rPr>
          <w:rFonts w:cs="Times New Roman"/>
        </w:rPr>
        <w:t xml:space="preserve">rativo. Tale qualificazione è però legata ai molteplici fattori esposti negli </w:t>
      </w:r>
      <w:r w:rsidR="000D7F41" w:rsidRPr="000D7F41">
        <w:rPr>
          <w:rFonts w:cs="Times New Roman"/>
          <w:i/>
        </w:rPr>
        <w:t>Engel criteria</w:t>
      </w:r>
      <w:r w:rsidR="000D7F41">
        <w:rPr>
          <w:rFonts w:cs="Times New Roman"/>
        </w:rPr>
        <w:t>, dunque non si può stabilire con sicurezza una soglia</w:t>
      </w:r>
      <w:r w:rsidR="00773A09">
        <w:rPr>
          <w:rFonts w:cs="Times New Roman"/>
        </w:rPr>
        <w:t>,</w:t>
      </w:r>
      <w:r w:rsidR="000D7F41">
        <w:rPr>
          <w:rFonts w:cs="Times New Roman"/>
        </w:rPr>
        <w:t xml:space="preserve"> superata la quale l’illecito </w:t>
      </w:r>
      <w:r>
        <w:rPr>
          <w:rFonts w:cs="Times New Roman"/>
        </w:rPr>
        <w:t>possa tornare anche sostanzialmente amministrativo. Pertanto</w:t>
      </w:r>
      <w:r w:rsidR="000D7F41">
        <w:rPr>
          <w:rFonts w:cs="Times New Roman"/>
        </w:rPr>
        <w:t xml:space="preserve"> il </w:t>
      </w:r>
      <w:r w:rsidR="00B31C3E">
        <w:rPr>
          <w:rFonts w:cs="Times New Roman"/>
        </w:rPr>
        <w:t>legislatore</w:t>
      </w:r>
      <w:r w:rsidR="000D7F41">
        <w:rPr>
          <w:rFonts w:cs="Times New Roman"/>
        </w:rPr>
        <w:t xml:space="preserve"> dovrebbe </w:t>
      </w:r>
      <w:r>
        <w:rPr>
          <w:rFonts w:cs="Times New Roman"/>
        </w:rPr>
        <w:t>seguire</w:t>
      </w:r>
      <w:r w:rsidR="000D7F41">
        <w:rPr>
          <w:rFonts w:cs="Times New Roman"/>
        </w:rPr>
        <w:t xml:space="preserve"> un approccio prudenziale</w:t>
      </w:r>
      <w:r w:rsidR="00CB0A1E">
        <w:rPr>
          <w:rFonts w:cs="Times New Roman"/>
        </w:rPr>
        <w:t xml:space="preserve"> </w:t>
      </w:r>
      <w:r>
        <w:rPr>
          <w:rFonts w:cs="Times New Roman"/>
        </w:rPr>
        <w:t xml:space="preserve">nel riformulare le sanzioni </w:t>
      </w:r>
      <w:r w:rsidR="00CB0A1E">
        <w:rPr>
          <w:rFonts w:cs="Times New Roman"/>
        </w:rPr>
        <w:t>e diminuir</w:t>
      </w:r>
      <w:r>
        <w:rPr>
          <w:rFonts w:cs="Times New Roman"/>
        </w:rPr>
        <w:t>l</w:t>
      </w:r>
      <w:r w:rsidR="00CB0A1E">
        <w:rPr>
          <w:rFonts w:cs="Times New Roman"/>
        </w:rPr>
        <w:t>e in maniera più che significativa</w:t>
      </w:r>
      <w:r>
        <w:rPr>
          <w:rFonts w:cs="Times New Roman"/>
        </w:rPr>
        <w:t>.</w:t>
      </w:r>
    </w:p>
    <w:p w14:paraId="7C225A62" w14:textId="4ECFF6D0" w:rsidR="00041123" w:rsidRDefault="005F5241" w:rsidP="00CE65A4">
      <w:pPr>
        <w:spacing w:after="100" w:afterAutospacing="1" w:line="276" w:lineRule="auto"/>
        <w:rPr>
          <w:rFonts w:cs="Times New Roman"/>
        </w:rPr>
      </w:pPr>
      <w:r>
        <w:rPr>
          <w:rFonts w:cs="Times New Roman"/>
        </w:rPr>
        <w:t>A prescindere dalle problematiche legate alla duplicazione di sanzioni e ad un procedimento bisognoso di rispettare i principi minimi del processo penale, una rivisitazione delle pene sarebbe comunque opportuna</w:t>
      </w:r>
      <w:r w:rsidR="00055E08">
        <w:rPr>
          <w:rFonts w:cs="Times New Roman"/>
        </w:rPr>
        <w:t>, sia con riferimento alle sanzioni amministrative sia a quelle penali</w:t>
      </w:r>
      <w:r>
        <w:rPr>
          <w:rFonts w:cs="Times New Roman"/>
        </w:rPr>
        <w:t>. Si deve a tal proposito richiamare l’opinione della dottrina</w:t>
      </w:r>
      <w:r w:rsidR="00D91E53">
        <w:rPr>
          <w:rStyle w:val="Rimandonotaapidipagina"/>
          <w:rFonts w:cs="Times New Roman"/>
        </w:rPr>
        <w:footnoteReference w:id="135"/>
      </w:r>
      <w:r>
        <w:rPr>
          <w:rFonts w:cs="Times New Roman"/>
        </w:rPr>
        <w:t>, che unanimemen</w:t>
      </w:r>
      <w:r w:rsidR="00D91E53">
        <w:rPr>
          <w:rFonts w:cs="Times New Roman"/>
        </w:rPr>
        <w:t>te ha criticato un sistema eccessivamente r</w:t>
      </w:r>
      <w:r>
        <w:rPr>
          <w:rFonts w:cs="Times New Roman"/>
        </w:rPr>
        <w:t xml:space="preserve">epressivo </w:t>
      </w:r>
      <w:r w:rsidR="00D91E53">
        <w:rPr>
          <w:rFonts w:cs="Times New Roman"/>
        </w:rPr>
        <w:t xml:space="preserve">ed in cui </w:t>
      </w:r>
      <w:r w:rsidR="00BD72AD">
        <w:rPr>
          <w:rFonts w:cs="Times New Roman"/>
        </w:rPr>
        <w:t xml:space="preserve">alla moltiplicazione delle sanzioni non </w:t>
      </w:r>
      <w:r w:rsidR="00055E08">
        <w:rPr>
          <w:rFonts w:cs="Times New Roman"/>
        </w:rPr>
        <w:t>è</w:t>
      </w:r>
      <w:r w:rsidR="00BD72AD">
        <w:rPr>
          <w:rFonts w:cs="Times New Roman"/>
        </w:rPr>
        <w:t xml:space="preserve"> corrisposto alcun parametro per la loro </w:t>
      </w:r>
      <w:r w:rsidR="00D91E53">
        <w:rPr>
          <w:rFonts w:cs="Times New Roman"/>
        </w:rPr>
        <w:t>commisurazione</w:t>
      </w:r>
      <w:r w:rsidR="00BD72AD">
        <w:rPr>
          <w:rFonts w:cs="Times New Roman"/>
        </w:rPr>
        <w:t xml:space="preserve">, tanto </w:t>
      </w:r>
      <w:r w:rsidR="00055E08">
        <w:rPr>
          <w:rFonts w:cs="Times New Roman"/>
        </w:rPr>
        <w:t>da far</w:t>
      </w:r>
      <w:r w:rsidR="00BD72AD">
        <w:rPr>
          <w:rFonts w:cs="Times New Roman"/>
        </w:rPr>
        <w:t xml:space="preserve"> sorge</w:t>
      </w:r>
      <w:r w:rsidR="00055E08">
        <w:rPr>
          <w:rFonts w:cs="Times New Roman"/>
        </w:rPr>
        <w:t>re</w:t>
      </w:r>
      <w:r w:rsidR="00BD72AD">
        <w:rPr>
          <w:rFonts w:cs="Times New Roman"/>
        </w:rPr>
        <w:t xml:space="preserve"> il dubbio che esse abbiano un contenuto sostanzialmente indeterminato</w:t>
      </w:r>
      <w:r w:rsidR="00D91E53">
        <w:rPr>
          <w:rFonts w:cs="Times New Roman"/>
        </w:rPr>
        <w:t>.</w:t>
      </w:r>
    </w:p>
    <w:p w14:paraId="5AB29109" w14:textId="5A601731" w:rsidR="0049612F" w:rsidRDefault="003862EF" w:rsidP="003A63CD">
      <w:pPr>
        <w:spacing w:after="100" w:afterAutospacing="1" w:line="276" w:lineRule="auto"/>
      </w:pPr>
      <w:r>
        <w:t>L’afflittività delle sanzioni è spinta fino a</w:t>
      </w:r>
      <w:r w:rsidR="007A33F0">
        <w:t>lla</w:t>
      </w:r>
      <w:r>
        <w:t xml:space="preserve"> prev</w:t>
      </w:r>
      <w:r w:rsidR="007A33F0">
        <w:t>isione di</w:t>
      </w:r>
      <w:r>
        <w:t xml:space="preserve"> norme</w:t>
      </w:r>
      <w:r w:rsidR="00D11781">
        <w:t xml:space="preserve"> finora inusuali nell’</w:t>
      </w:r>
      <w:r>
        <w:t>ordinamento</w:t>
      </w:r>
      <w:r w:rsidR="00D11781">
        <w:t xml:space="preserve"> italiano</w:t>
      </w:r>
      <w:r w:rsidR="000F56CF">
        <w:t xml:space="preserve">, come </w:t>
      </w:r>
      <w:r>
        <w:t xml:space="preserve">il risarcimento per i </w:t>
      </w:r>
      <w:r>
        <w:rPr>
          <w:rFonts w:cs="Times New Roman"/>
          <w:i/>
        </w:rPr>
        <w:t>«d</w:t>
      </w:r>
      <w:r w:rsidRPr="009C74EA">
        <w:rPr>
          <w:rFonts w:cs="Times New Roman"/>
          <w:i/>
        </w:rPr>
        <w:t>anni</w:t>
      </w:r>
      <w:r w:rsidRPr="009C74EA">
        <w:rPr>
          <w:i/>
        </w:rPr>
        <w:t xml:space="preserve"> </w:t>
      </w:r>
      <w:r w:rsidRPr="009C74EA">
        <w:rPr>
          <w:rFonts w:cs="Times New Roman"/>
          <w:i/>
        </w:rPr>
        <w:t>cagionati dal reato all'integrità del mercato»</w:t>
      </w:r>
      <w:r w:rsidR="000F56CF">
        <w:rPr>
          <w:rFonts w:cs="Times New Roman"/>
        </w:rPr>
        <w:t>, che è stato ricondotto al “danno punitivo” di origine nordamericana</w:t>
      </w:r>
      <w:r w:rsidR="007A33F0">
        <w:rPr>
          <w:rStyle w:val="Rimandonotaapidipagina"/>
        </w:rPr>
        <w:footnoteReference w:id="136"/>
      </w:r>
      <w:r w:rsidR="000F56CF">
        <w:rPr>
          <w:rFonts w:cs="Times New Roman"/>
        </w:rPr>
        <w:t>.</w:t>
      </w:r>
      <w:r w:rsidR="000F56CF" w:rsidRPr="000F56CF">
        <w:rPr>
          <w:rFonts w:cs="Times New Roman"/>
        </w:rPr>
        <w:t xml:space="preserve"> </w:t>
      </w:r>
      <w:r w:rsidR="0049612F">
        <w:rPr>
          <w:rFonts w:cs="Times New Roman"/>
        </w:rPr>
        <w:t>A norm</w:t>
      </w:r>
      <w:r w:rsidR="000F56CF">
        <w:rPr>
          <w:rFonts w:cs="Times New Roman"/>
        </w:rPr>
        <w:t>a</w:t>
      </w:r>
      <w:r w:rsidR="0049612F">
        <w:rPr>
          <w:rFonts w:cs="Times New Roman"/>
        </w:rPr>
        <w:t xml:space="preserve"> dell’art. 187 </w:t>
      </w:r>
      <w:r w:rsidR="0049612F" w:rsidRPr="00960977">
        <w:rPr>
          <w:rFonts w:cs="Times New Roman"/>
          <w:i/>
        </w:rPr>
        <w:t>undecies</w:t>
      </w:r>
      <w:r w:rsidR="0049612F">
        <w:rPr>
          <w:rFonts w:cs="Times New Roman"/>
        </w:rPr>
        <w:t xml:space="preserve"> del T</w:t>
      </w:r>
      <w:r w:rsidR="00960977">
        <w:rPr>
          <w:rFonts w:cs="Times New Roman"/>
        </w:rPr>
        <w:t>.</w:t>
      </w:r>
      <w:r w:rsidR="0049612F">
        <w:rPr>
          <w:rFonts w:cs="Times New Roman"/>
        </w:rPr>
        <w:t>U</w:t>
      </w:r>
      <w:r w:rsidR="00960977">
        <w:rPr>
          <w:rFonts w:cs="Times New Roman"/>
        </w:rPr>
        <w:t>.</w:t>
      </w:r>
      <w:r w:rsidR="0049612F">
        <w:rPr>
          <w:rFonts w:cs="Times New Roman"/>
        </w:rPr>
        <w:t>F</w:t>
      </w:r>
      <w:r w:rsidR="00960977">
        <w:rPr>
          <w:rFonts w:cs="Times New Roman"/>
        </w:rPr>
        <w:t>.,</w:t>
      </w:r>
      <w:r w:rsidR="0049612F">
        <w:rPr>
          <w:rFonts w:cs="Times New Roman"/>
        </w:rPr>
        <w:t xml:space="preserve"> infatti</w:t>
      </w:r>
      <w:r w:rsidR="00960977">
        <w:rPr>
          <w:rFonts w:cs="Times New Roman"/>
        </w:rPr>
        <w:t>,</w:t>
      </w:r>
      <w:r w:rsidR="0049612F">
        <w:rPr>
          <w:rFonts w:cs="Times New Roman"/>
        </w:rPr>
        <w:t xml:space="preserve"> la</w:t>
      </w:r>
      <w:r w:rsidR="000F56CF">
        <w:rPr>
          <w:rFonts w:cs="Times New Roman"/>
        </w:rPr>
        <w:t xml:space="preserve"> CONSOB potrà costituirsi parte civile nel processo penale </w:t>
      </w:r>
      <w:r w:rsidR="0049612F">
        <w:rPr>
          <w:rFonts w:cs="Times New Roman"/>
        </w:rPr>
        <w:t xml:space="preserve">e dimostrare che la manipolazione ha leso </w:t>
      </w:r>
      <w:r w:rsidR="0049612F">
        <w:t>l</w:t>
      </w:r>
      <w:r w:rsidR="00736A13">
        <w:t>’integrità del mercato</w:t>
      </w:r>
      <w:r w:rsidR="0049612F">
        <w:t>, interesse di cui la CONSOB è portatrice.</w:t>
      </w:r>
    </w:p>
    <w:p w14:paraId="2DC88310" w14:textId="46F8BD14" w:rsidR="00736A13" w:rsidRDefault="00960977" w:rsidP="003A63CD">
      <w:pPr>
        <w:spacing w:after="100" w:afterAutospacing="1" w:line="276" w:lineRule="auto"/>
      </w:pPr>
      <w:r>
        <w:t>L’integrità del mercato</w:t>
      </w:r>
      <w:r w:rsidR="00736A13">
        <w:t xml:space="preserve"> è un bene collettivo che, se leso, è suscettibile di produrre danni macroeconomici con effetti sull’intera comunità. </w:t>
      </w:r>
      <w:r w:rsidR="009349D6">
        <w:t>Conferire però il potere di costituirsi parte civile alla CONSOB port</w:t>
      </w:r>
      <w:r w:rsidR="00A745FC">
        <w:t>erà all’assurdo che</w:t>
      </w:r>
      <w:r w:rsidR="009349D6">
        <w:t xml:space="preserve"> tale ente </w:t>
      </w:r>
      <w:r w:rsidR="00A745FC">
        <w:t>potrebbe</w:t>
      </w:r>
      <w:r w:rsidR="009349D6">
        <w:t xml:space="preserve"> ottenere un indennizzo per non essere</w:t>
      </w:r>
      <w:r w:rsidR="00736A13">
        <w:t xml:space="preserve"> riuscita ad esercitare </w:t>
      </w:r>
      <w:r w:rsidR="009349D6">
        <w:t>efficacemente</w:t>
      </w:r>
      <w:r w:rsidR="00D11781">
        <w:t xml:space="preserve"> l’</w:t>
      </w:r>
      <w:r w:rsidR="00736A13">
        <w:t>opera di prevenzione</w:t>
      </w:r>
      <w:r w:rsidR="00D11781">
        <w:t xml:space="preserve"> delle manipolazioni del mercato,</w:t>
      </w:r>
      <w:r w:rsidR="009349D6">
        <w:t xml:space="preserve"> che rientra tra i suoi compiti istituzionali</w:t>
      </w:r>
      <w:r w:rsidR="00736A13">
        <w:t>.</w:t>
      </w:r>
      <w:r w:rsidR="009349D6">
        <w:t xml:space="preserve"> Sotto l’apparenza della lesione dell’integrità del me</w:t>
      </w:r>
      <w:r w:rsidR="00887DBA">
        <w:t>rcato sembra</w:t>
      </w:r>
      <w:r w:rsidR="00D11781">
        <w:t xml:space="preserve"> così</w:t>
      </w:r>
      <w:r w:rsidR="00887DBA">
        <w:t xml:space="preserve"> celarsi una volontà ulteriormente sanzionatoria.</w:t>
      </w:r>
      <w:r w:rsidR="009349D6">
        <w:t xml:space="preserve"> </w:t>
      </w:r>
    </w:p>
    <w:p w14:paraId="64C4AFD3" w14:textId="49CBCFFD" w:rsidR="007A33F0" w:rsidRDefault="00736A13" w:rsidP="00887DBA">
      <w:pPr>
        <w:spacing w:after="100" w:afterAutospacing="1" w:line="276" w:lineRule="auto"/>
      </w:pPr>
      <w:r>
        <w:t xml:space="preserve">Inoltre la quantificazione del danno in via equitativa ed in relazione </w:t>
      </w:r>
      <w:r w:rsidR="00D11781">
        <w:t xml:space="preserve">anche </w:t>
      </w:r>
      <w:r>
        <w:t>a parametri che non hanno alcuna relazione con il pregiudizio addotto all’integrità del mercato</w:t>
      </w:r>
      <w:r w:rsidR="009349D6">
        <w:t xml:space="preserve"> </w:t>
      </w:r>
      <w:r w:rsidR="00001393">
        <w:t>rafforza</w:t>
      </w:r>
      <w:r w:rsidR="00887DBA">
        <w:t xml:space="preserve"> tale opinione</w:t>
      </w:r>
      <w:r>
        <w:t xml:space="preserve">. </w:t>
      </w:r>
      <w:r w:rsidR="007A33F0">
        <w:t>In particolare</w:t>
      </w:r>
      <w:r w:rsidR="00001393">
        <w:t>, i</w:t>
      </w:r>
      <w:r w:rsidR="00887DBA">
        <w:t xml:space="preserve"> parametri citati nell’articolo 187 </w:t>
      </w:r>
      <w:r w:rsidR="00887DBA" w:rsidRPr="00C407D1">
        <w:rPr>
          <w:i/>
        </w:rPr>
        <w:t>undecies</w:t>
      </w:r>
      <w:r w:rsidR="00887DBA">
        <w:t xml:space="preserve"> </w:t>
      </w:r>
      <w:r w:rsidR="00001393">
        <w:t xml:space="preserve">del T.U.F. </w:t>
      </w:r>
      <w:r w:rsidR="00887DBA">
        <w:t>rimandano, oltre all’offensività del fatto, alle qualità personali del colpevole ed al prodotto o profitto conseguito</w:t>
      </w:r>
      <w:r w:rsidR="007A33F0">
        <w:t xml:space="preserve">, che nessuna relazione hanno rispetto alla lesione dell’integrità del mercato. </w:t>
      </w:r>
    </w:p>
    <w:p w14:paraId="0A31F123" w14:textId="552B5E26" w:rsidR="007A33F0" w:rsidRDefault="007A33F0" w:rsidP="007A33F0">
      <w:pPr>
        <w:spacing w:after="100" w:afterAutospacing="1" w:line="276" w:lineRule="auto"/>
      </w:pPr>
      <w:r>
        <w:t>Infatti, sebbene questo sia un bene giuridico immateriale e collettivo, la cui stima si baserà necessariamente su parametri approssimativi, un eventuale risarcimento dovrebbe essere legato al pregiudizio alla fiducia che il pubblico ripone</w:t>
      </w:r>
      <w:r w:rsidR="00001393">
        <w:t xml:space="preserve"> nel mercato</w:t>
      </w:r>
      <w:r>
        <w:t xml:space="preserve"> e </w:t>
      </w:r>
      <w:r w:rsidR="00001393">
        <w:t>non a parametri che riconducono al suo disvalore o alla colpevolezza dell’agente.</w:t>
      </w:r>
      <w:r>
        <w:t xml:space="preserve"> </w:t>
      </w:r>
    </w:p>
    <w:p w14:paraId="4F7A894C" w14:textId="52ACEF53" w:rsidR="00A745FC" w:rsidRDefault="00F1229F" w:rsidP="00887DBA">
      <w:pPr>
        <w:spacing w:after="100" w:afterAutospacing="1" w:line="276" w:lineRule="auto"/>
      </w:pPr>
      <w:r>
        <w:t>Anche perché è difficile comprendere quali sarebbero gli elementi oggettivi che il giudice dovrebbe prendere come parametri per la valutazione equitativa del danno, come richiesto dalla giurisprudenza sull’art. 1226 c.c.</w:t>
      </w:r>
      <w:r>
        <w:rPr>
          <w:rStyle w:val="Rimandonotaapidipagina"/>
        </w:rPr>
        <w:footnoteReference w:id="137"/>
      </w:r>
      <w:r>
        <w:t>.</w:t>
      </w:r>
    </w:p>
    <w:p w14:paraId="20EDB7EB" w14:textId="77777777" w:rsidR="00765CA9" w:rsidRDefault="00887DBA" w:rsidP="00887DBA">
      <w:pPr>
        <w:spacing w:after="100" w:afterAutospacing="1" w:line="276" w:lineRule="auto"/>
      </w:pPr>
      <w:r>
        <w:t xml:space="preserve">In tal senso, </w:t>
      </w:r>
      <w:r w:rsidR="00001393">
        <w:t xml:space="preserve">sembra corretta l’opinione della </w:t>
      </w:r>
      <w:r>
        <w:t>dottrina</w:t>
      </w:r>
      <w:r w:rsidR="00001393">
        <w:t>, che</w:t>
      </w:r>
      <w:r>
        <w:t xml:space="preserve"> ha ricondotto la norma ad una inedita trasposizione dei “danni punitivi” </w:t>
      </w:r>
      <w:r w:rsidR="00001393">
        <w:t xml:space="preserve">in Italia, che quindi va ricompresa nel già aspro quadro sanzionatorio. </w:t>
      </w:r>
    </w:p>
    <w:p w14:paraId="70C57DA1" w14:textId="1B3C7948" w:rsidR="00001393" w:rsidRPr="00736A13" w:rsidRDefault="00001393" w:rsidP="00887DBA">
      <w:pPr>
        <w:spacing w:after="100" w:afterAutospacing="1" w:line="276" w:lineRule="auto"/>
      </w:pPr>
      <w:r>
        <w:t>Raffrontando</w:t>
      </w:r>
      <w:r w:rsidR="00765CA9">
        <w:t xml:space="preserve"> più in generale</w:t>
      </w:r>
      <w:r>
        <w:t xml:space="preserve"> l’insieme delle pene</w:t>
      </w:r>
      <w:r w:rsidR="00765CA9">
        <w:t xml:space="preserve"> pecuniarie</w:t>
      </w:r>
      <w:r>
        <w:t xml:space="preserve"> </w:t>
      </w:r>
      <w:r w:rsidR="00765CA9">
        <w:t>previste</w:t>
      </w:r>
      <w:r>
        <w:t xml:space="preserve"> in Italia</w:t>
      </w:r>
      <w:r w:rsidR="00244FDD">
        <w:t xml:space="preserve"> con quelle </w:t>
      </w:r>
      <w:r w:rsidR="00765CA9">
        <w:t>di</w:t>
      </w:r>
      <w:r w:rsidR="00244FDD">
        <w:t xml:space="preserve"> altri Stati membri</w:t>
      </w:r>
      <w:r w:rsidR="00757DAB">
        <w:t xml:space="preserve">, </w:t>
      </w:r>
      <w:r w:rsidR="00765CA9">
        <w:t>esse risultano nel complesso comparabili. Le differenze rispetto ai sistemi sanzionatori degli altri Stati membri consistono piuttosto nella pluralità di tali pene e nella loro moltiplicazione oltre il limite edittale, oltre che nella possibilità di un cumulo parziale</w:t>
      </w:r>
      <w:r w:rsidR="000429BF">
        <w:t xml:space="preserve"> delle sanzioni penali ed amministrative</w:t>
      </w:r>
      <w:r w:rsidR="00765CA9">
        <w:t xml:space="preserve">, almeno fino alla sentenza Grande Stevens. Del resto, obiettivo dichiarato del </w:t>
      </w:r>
      <w:r w:rsidR="00B31C3E">
        <w:t>legislatore</w:t>
      </w:r>
      <w:r w:rsidR="00765CA9">
        <w:t xml:space="preserve"> era di approntare una tutela quanto più energica possibile.</w:t>
      </w:r>
    </w:p>
    <w:p w14:paraId="1FDB5001" w14:textId="0F933E46" w:rsidR="00055E08" w:rsidRDefault="000429BF" w:rsidP="003A63CD">
      <w:pPr>
        <w:spacing w:after="100" w:afterAutospacing="1" w:line="276" w:lineRule="auto"/>
      </w:pPr>
      <w:r>
        <w:t xml:space="preserve">La crescente repressività degli illeciti di manipolazione del mercato sembra porsi in relazione con l’aumentare dell’interesse del </w:t>
      </w:r>
      <w:r w:rsidR="00B31C3E">
        <w:t>legislatore</w:t>
      </w:r>
      <w:r w:rsidR="00E54CDA">
        <w:t>.</w:t>
      </w:r>
      <w:r w:rsidR="00890BD0">
        <w:t xml:space="preserve"> C</w:t>
      </w:r>
      <w:r w:rsidR="00055E08">
        <w:t>iò nonostante il mutare del quadro economico in cui essa si inserisce:</w:t>
      </w:r>
      <w:r w:rsidR="000131C5">
        <w:t xml:space="preserve"> prevista quale </w:t>
      </w:r>
      <w:r w:rsidR="00824117">
        <w:t>fattispecie</w:t>
      </w:r>
      <w:r w:rsidR="000131C5">
        <w:t xml:space="preserve"> </w:t>
      </w:r>
      <w:r>
        <w:t>dalla pena particolarmente lieve nel codice Zanardelli, come</w:t>
      </w:r>
      <w:r w:rsidR="000131C5">
        <w:t xml:space="preserve"> compromesso</w:t>
      </w:r>
      <w:r w:rsidR="00824117">
        <w:t xml:space="preserve"> </w:t>
      </w:r>
      <w:r>
        <w:t>mal accettato</w:t>
      </w:r>
      <w:r w:rsidR="000131C5">
        <w:t xml:space="preserve"> da</w:t>
      </w:r>
      <w:r w:rsidR="00824117">
        <w:t xml:space="preserve"> una</w:t>
      </w:r>
      <w:r w:rsidR="000131C5">
        <w:t xml:space="preserve"> parte della dottrina postun</w:t>
      </w:r>
      <w:r w:rsidR="00287E22">
        <w:t>itaria</w:t>
      </w:r>
      <w:r w:rsidR="00824117">
        <w:rPr>
          <w:rStyle w:val="Rimandonotaapidipagina"/>
        </w:rPr>
        <w:footnoteReference w:id="138"/>
      </w:r>
      <w:r>
        <w:t>, che già ravvisava un</w:t>
      </w:r>
      <w:r w:rsidR="00287E22">
        <w:t>’</w:t>
      </w:r>
      <w:r w:rsidR="000131C5">
        <w:t>intrinsec</w:t>
      </w:r>
      <w:r w:rsidR="00287E22">
        <w:t>a</w:t>
      </w:r>
      <w:r w:rsidR="000131C5">
        <w:t xml:space="preserve"> contraddizion</w:t>
      </w:r>
      <w:r w:rsidR="00287E22">
        <w:t>e di sanzionare penalmente una condotta all’apparenza lecita</w:t>
      </w:r>
      <w:r w:rsidR="000131C5">
        <w:rPr>
          <w:rStyle w:val="Rimandonotaapidipagina"/>
        </w:rPr>
        <w:footnoteReference w:id="139"/>
      </w:r>
      <w:r w:rsidR="000131C5">
        <w:t>, la norma sembra acquisi</w:t>
      </w:r>
      <w:r w:rsidR="00BD6D3A">
        <w:t>re</w:t>
      </w:r>
      <w:r w:rsidR="000131C5">
        <w:t xml:space="preserve"> un significato </w:t>
      </w:r>
      <w:r w:rsidR="00824117">
        <w:t>maggiore</w:t>
      </w:r>
      <w:r w:rsidR="000131C5">
        <w:t xml:space="preserve"> </w:t>
      </w:r>
      <w:r w:rsidR="00BD6D3A">
        <w:t>con il codice Rocco.</w:t>
      </w:r>
    </w:p>
    <w:p w14:paraId="3F36CEF6" w14:textId="3D50CBE7" w:rsidR="00BD6D3A" w:rsidRDefault="00BD6D3A" w:rsidP="003A63CD">
      <w:pPr>
        <w:spacing w:after="100" w:afterAutospacing="1" w:line="276" w:lineRule="auto"/>
      </w:pPr>
      <w:r>
        <w:t>Nel quadro di un’economia fortemente regolamentata</w:t>
      </w:r>
      <w:r w:rsidR="00252402">
        <w:t xml:space="preserve"> e caratterizzata da un regime dei prezzi controllato</w:t>
      </w:r>
      <w:r>
        <w:t xml:space="preserve"> quale era quella </w:t>
      </w:r>
      <w:r w:rsidR="00114ADF">
        <w:t>statalista del regime</w:t>
      </w:r>
      <w:r>
        <w:t xml:space="preserve"> fascista, la previsione di un reato dai contorni indefiniti, perché incentrato su una non meglio precisata condotta “artificiosa”, costituiva la norma di chiusura capace di intercettare le devianze economiche che non era stato possibile </w:t>
      </w:r>
      <w:r w:rsidR="00FB0304">
        <w:t>limitare altrimenti</w:t>
      </w:r>
      <w:r>
        <w:t>.</w:t>
      </w:r>
      <w:r w:rsidR="00FB0304">
        <w:t xml:space="preserve"> Alla dichiarazione di intenti di quel sistema economico, che prevedeva anche </w:t>
      </w:r>
      <w:r w:rsidR="00824117">
        <w:t>un significativo innalzamento della pena,</w:t>
      </w:r>
      <w:r>
        <w:t xml:space="preserve"> peraltro</w:t>
      </w:r>
      <w:r w:rsidR="00FB0304">
        <w:t xml:space="preserve"> non farà seguito</w:t>
      </w:r>
      <w:r w:rsidR="00C84A69">
        <w:t xml:space="preserve"> </w:t>
      </w:r>
      <w:r w:rsidR="00FB0304">
        <w:t>alcuna applicazione significativa da parte della giurisprudenza</w:t>
      </w:r>
      <w:r w:rsidR="00C84A69">
        <w:t>.</w:t>
      </w:r>
    </w:p>
    <w:p w14:paraId="2A5F5413" w14:textId="33FFDD7B" w:rsidR="00760D7A" w:rsidRDefault="00760D7A" w:rsidP="003A63CD">
      <w:pPr>
        <w:spacing w:after="100" w:afterAutospacing="1" w:line="276" w:lineRule="auto"/>
      </w:pPr>
      <w:r>
        <w:t>Nel dopoguerra, con il crescere delle tensioni sociali, si cercò di dare nuova linfa ad una fattispecie che sembr</w:t>
      </w:r>
      <w:r w:rsidR="00111F0E">
        <w:t>av</w:t>
      </w:r>
      <w:r>
        <w:t xml:space="preserve">a rappresentare la soluzione dei problemi. L’introduzione dell’art. 501 </w:t>
      </w:r>
      <w:r w:rsidRPr="00760D7A">
        <w:rPr>
          <w:i/>
        </w:rPr>
        <w:t>bis</w:t>
      </w:r>
      <w:r>
        <w:t xml:space="preserve"> nel codice penale, </w:t>
      </w:r>
      <w:r w:rsidRPr="00760D7A">
        <w:rPr>
          <w:i/>
        </w:rPr>
        <w:t>lex specialis</w:t>
      </w:r>
      <w:r>
        <w:t xml:space="preserve"> volta a tutelare il commercio di beni di largo consumo o di prima necessità, non </w:t>
      </w:r>
      <w:r w:rsidR="00BD2DB4">
        <w:t>sortì</w:t>
      </w:r>
      <w:r>
        <w:t xml:space="preserve"> però effetti in termini di applica</w:t>
      </w:r>
      <w:r w:rsidR="00111F0E">
        <w:t>tivi e</w:t>
      </w:r>
      <w:r w:rsidR="00FB0304">
        <w:t xml:space="preserve"> la </w:t>
      </w:r>
      <w:r w:rsidR="00111F0E">
        <w:t>sua</w:t>
      </w:r>
      <w:r w:rsidR="00FB0304">
        <w:t xml:space="preserve"> trattazione rimas</w:t>
      </w:r>
      <w:r w:rsidR="00BD2DB4">
        <w:t>e confinata agli studi della dottrina.</w:t>
      </w:r>
    </w:p>
    <w:p w14:paraId="57038C3A" w14:textId="4E007171" w:rsidR="00FB0304" w:rsidRDefault="00824117" w:rsidP="003A63CD">
      <w:pPr>
        <w:spacing w:after="100" w:afterAutospacing="1" w:line="276" w:lineRule="auto"/>
      </w:pPr>
      <w:r>
        <w:t xml:space="preserve">La fattispecie </w:t>
      </w:r>
      <w:r w:rsidR="00FB0304">
        <w:t>ha trovato</w:t>
      </w:r>
      <w:r>
        <w:t xml:space="preserve"> una sua ragion d’essere in tempi più recenti, ma in un senso diametralmente opposto a quello che avrebbe voluto attribuirle il </w:t>
      </w:r>
      <w:r w:rsidR="00B31C3E">
        <w:t>legislatore</w:t>
      </w:r>
      <w:r>
        <w:t xml:space="preserve"> del 1930</w:t>
      </w:r>
      <w:r w:rsidR="00217DE2">
        <w:t>. R</w:t>
      </w:r>
      <w:r>
        <w:t xml:space="preserve">iformulata su impulso del succedersi delle direttive comunitarie ed europee, essa </w:t>
      </w:r>
      <w:r w:rsidR="00FB0304">
        <w:t>acquisisce</w:t>
      </w:r>
      <w:r>
        <w:t xml:space="preserve"> la sua compiutezza in un sistema economico di stampo dichiaratamente liberale</w:t>
      </w:r>
      <w:r w:rsidR="00FB0304">
        <w:t>, in cui</w:t>
      </w:r>
      <w:r w:rsidR="00217DE2">
        <w:t xml:space="preserve"> al sistema dei prezzi controllati è stato sostituito</w:t>
      </w:r>
      <w:r w:rsidR="00FB0304">
        <w:t xml:space="preserve"> il principio che la formazione del prezzo</w:t>
      </w:r>
      <w:r w:rsidR="00217DE2">
        <w:t xml:space="preserve"> debba</w:t>
      </w:r>
      <w:r w:rsidR="00FB0304">
        <w:t xml:space="preserve"> avve</w:t>
      </w:r>
      <w:r w:rsidR="00217DE2">
        <w:t>nire</w:t>
      </w:r>
      <w:r w:rsidR="00FB0304">
        <w:t xml:space="preserve"> sulla base del “libero gioco” d</w:t>
      </w:r>
      <w:r w:rsidR="00217DE2">
        <w:t>ella domanda e dell’</w:t>
      </w:r>
      <w:r w:rsidR="00FB0304">
        <w:t>offerta</w:t>
      </w:r>
      <w:r>
        <w:t xml:space="preserve">. </w:t>
      </w:r>
    </w:p>
    <w:p w14:paraId="1FED3715" w14:textId="020CCAA8" w:rsidR="002F6A6A" w:rsidRDefault="00FB0304" w:rsidP="003A63CD">
      <w:pPr>
        <w:spacing w:after="100" w:afterAutospacing="1" w:line="276" w:lineRule="auto"/>
      </w:pPr>
      <w:r>
        <w:t xml:space="preserve">Mentre le precedenti fattispecie </w:t>
      </w:r>
      <w:r w:rsidR="002D3BC8">
        <w:t>del codice penale</w:t>
      </w:r>
      <w:r w:rsidR="002F6A6A">
        <w:t xml:space="preserve"> </w:t>
      </w:r>
      <w:r w:rsidR="00217DE2">
        <w:t>cadevano</w:t>
      </w:r>
      <w:r>
        <w:t xml:space="preserve"> in desuetudine</w:t>
      </w:r>
      <w:r w:rsidR="002F6A6A">
        <w:t xml:space="preserve">, </w:t>
      </w:r>
      <w:r w:rsidR="00217DE2">
        <w:t xml:space="preserve">il </w:t>
      </w:r>
      <w:r w:rsidR="00B31C3E">
        <w:t>legislatore</w:t>
      </w:r>
      <w:r w:rsidR="00217DE2">
        <w:t xml:space="preserve"> introduceva così</w:t>
      </w:r>
      <w:r w:rsidR="002D3BC8">
        <w:t xml:space="preserve"> una nuova incriminazione</w:t>
      </w:r>
      <w:r w:rsidR="002F6A6A">
        <w:t xml:space="preserve">, </w:t>
      </w:r>
      <w:r w:rsidR="002D3BC8">
        <w:t>riferibile</w:t>
      </w:r>
      <w:r w:rsidR="002F6A6A">
        <w:t xml:space="preserve"> unicamente al mercato azionario. </w:t>
      </w:r>
      <w:r w:rsidR="002D3BC8">
        <w:t>Tale norma è stata a sua volta</w:t>
      </w:r>
      <w:r w:rsidR="00217DE2">
        <w:t xml:space="preserve"> prima modificata e poi</w:t>
      </w:r>
      <w:r w:rsidR="002D3BC8">
        <w:t xml:space="preserve"> parzialmente sostituita da una fattispecie di manipolazione riferibile al solo m</w:t>
      </w:r>
      <w:r w:rsidR="002F6A6A">
        <w:t>ercato finanziario</w:t>
      </w:r>
      <w:r w:rsidR="002D3BC8">
        <w:t>. La prospettiva in cui si inserisce non è più quella di norma</w:t>
      </w:r>
      <w:r w:rsidR="008B63F0">
        <w:t xml:space="preserve"> ad applicazione</w:t>
      </w:r>
      <w:r w:rsidR="002D3BC8">
        <w:t xml:space="preserve"> residuale in un regime di prezzi regolamentato, ma quella di unica norma a protezione della corretta formazione dei prezzi e quindi del corretto funzionamento del mercato.</w:t>
      </w:r>
    </w:p>
    <w:p w14:paraId="19822F2A" w14:textId="00DB9CDE" w:rsidR="008B63F0" w:rsidRDefault="007C646A" w:rsidP="009125BC">
      <w:pPr>
        <w:spacing w:after="100" w:afterAutospacing="1" w:line="276" w:lineRule="auto"/>
      </w:pPr>
      <w:r>
        <w:t>Atteso che a</w:t>
      </w:r>
      <w:r w:rsidR="008B63F0">
        <w:t>gli illeciti di</w:t>
      </w:r>
      <w:r>
        <w:t xml:space="preserve"> manipolazione del mercato (ed, in maniera diversa, </w:t>
      </w:r>
      <w:r w:rsidR="008B63F0">
        <w:t>a quello di abuso</w:t>
      </w:r>
      <w:r>
        <w:t xml:space="preserve"> di informazioni privilegiate) è attribuita la responsabilità della corretto funzionamento del mercato finanziario, </w:t>
      </w:r>
      <w:r w:rsidR="008B63F0">
        <w:t>con</w:t>
      </w:r>
      <w:r>
        <w:t xml:space="preserve"> ricadute macroeconomiche di </w:t>
      </w:r>
      <w:r w:rsidR="003B6999">
        <w:t>crescente</w:t>
      </w:r>
      <w:r>
        <w:t xml:space="preserve"> rilievo</w:t>
      </w:r>
      <w:r w:rsidR="00A71CC7">
        <w:t xml:space="preserve"> nelle</w:t>
      </w:r>
      <w:r w:rsidR="00FA2D58">
        <w:t xml:space="preserve"> c.d. economie</w:t>
      </w:r>
      <w:bookmarkStart w:id="11" w:name="_GoBack"/>
      <w:bookmarkEnd w:id="11"/>
      <w:r w:rsidR="00A71CC7">
        <w:t xml:space="preserve"> avanzate</w:t>
      </w:r>
      <w:r>
        <w:t>, si comprende come al restringersi dell’ambito di applicazione della fattispecie</w:t>
      </w:r>
      <w:r w:rsidR="00FF52C2">
        <w:t xml:space="preserve"> al solo mercato finanziario</w:t>
      </w:r>
      <w:r>
        <w:t xml:space="preserve"> siano state progressivamente innalzate le sanzioni e il delitto abbia cominciato a trovar </w:t>
      </w:r>
      <w:r w:rsidR="009125BC">
        <w:t>posto nelle aule dei tribunali.</w:t>
      </w:r>
    </w:p>
    <w:p w14:paraId="32582C2F" w14:textId="584B13B7" w:rsidR="008B63F0" w:rsidRDefault="008B63F0" w:rsidP="003A63CD">
      <w:pPr>
        <w:spacing w:after="100" w:afterAutospacing="1" w:line="276" w:lineRule="auto"/>
      </w:pPr>
      <w:r>
        <w:t>Con la MAD si è giunti a</w:t>
      </w:r>
      <w:r w:rsidR="007C646A">
        <w:t>ddirittura</w:t>
      </w:r>
      <w:r w:rsidR="000D25C0">
        <w:t xml:space="preserve"> all’estremo</w:t>
      </w:r>
      <w:r w:rsidR="007C646A">
        <w:t xml:space="preserve"> </w:t>
      </w:r>
      <w:r w:rsidR="000D25C0">
        <w:t>di</w:t>
      </w:r>
      <w:r w:rsidR="007C646A">
        <w:t xml:space="preserve"> una tutela del pericolo presunto da parte di una sanzione</w:t>
      </w:r>
      <w:r w:rsidR="000D25C0">
        <w:t xml:space="preserve"> formalmente amministrativa</w:t>
      </w:r>
      <w:r w:rsidR="00B01CF3">
        <w:t>,</w:t>
      </w:r>
      <w:r w:rsidR="000D25C0">
        <w:t xml:space="preserve"> </w:t>
      </w:r>
      <w:r w:rsidR="007C646A">
        <w:t>ma sostanzialmente penale</w:t>
      </w:r>
      <w:r w:rsidR="00A2586D">
        <w:t>. Le difficoltà legate all’individuazione dell’evento ed alla sua riconnessione ad una condotta</w:t>
      </w:r>
      <w:r w:rsidR="0071068B">
        <w:t xml:space="preserve"> nell’aleatorietà che caratterizza i mercati finanziari ha obbligato</w:t>
      </w:r>
      <w:r w:rsidR="000D25C0">
        <w:t xml:space="preserve"> il </w:t>
      </w:r>
      <w:r w:rsidR="00B31C3E">
        <w:t>legislatore</w:t>
      </w:r>
      <w:r w:rsidR="0071068B">
        <w:t xml:space="preserve"> a muovere dalla presunzione che determinate condotte costituiscano un pericolo. </w:t>
      </w:r>
    </w:p>
    <w:p w14:paraId="6F6039C1" w14:textId="534027D9" w:rsidR="00385A2D" w:rsidRDefault="0071068B" w:rsidP="009125BC">
      <w:pPr>
        <w:spacing w:after="100" w:afterAutospacing="1" w:line="276" w:lineRule="auto"/>
      </w:pPr>
      <w:r>
        <w:t>Allo stesso modo, a tali difficoltà si aggiunge la necessità di definire cosa costituisca “artificio” nel mercato finanziario</w:t>
      </w:r>
      <w:r w:rsidR="00652102">
        <w:t xml:space="preserve"> per il delitto</w:t>
      </w:r>
      <w:r>
        <w:t>, questione dibattuta da decenni e che sembra attualmente trovare un compromesso accettabile nel concetto di “condotta che produce l’effetto di ingannare l’investitore ragionevole”.</w:t>
      </w:r>
      <w:r w:rsidR="00652102">
        <w:t xml:space="preserve"> Rimane comunque aperto un problema di determinatezza della fattispecie, sia perché il </w:t>
      </w:r>
      <w:r w:rsidR="00B31C3E">
        <w:t>legislatore</w:t>
      </w:r>
      <w:r w:rsidR="00652102">
        <w:t xml:space="preserve"> non descrive in alcun modo gli artifici, sia perché il problema potrebbe spostarsi a cosa intendere per inganno ad un investitore ragionevole.</w:t>
      </w:r>
    </w:p>
    <w:p w14:paraId="190982F1" w14:textId="463D6720" w:rsidR="00CA151F" w:rsidRDefault="00652102" w:rsidP="003A63CD">
      <w:pPr>
        <w:spacing w:after="100" w:afterAutospacing="1" w:line="276" w:lineRule="auto"/>
      </w:pPr>
      <w:r>
        <w:t xml:space="preserve">Una soluzione per definire il delitto può essere dedotta </w:t>
      </w:r>
      <w:r w:rsidR="00CA151F">
        <w:t xml:space="preserve">dai limiti alla fattispecie penale delineati </w:t>
      </w:r>
      <w:r w:rsidR="00DC3716">
        <w:t>in questo</w:t>
      </w:r>
      <w:r w:rsidR="00CA151F">
        <w:t xml:space="preserve"> scritto, che sono negativi nel caso delle prassi legittime e positivi quando basati sulla relazione con la fattispecie amministrativa.</w:t>
      </w:r>
    </w:p>
    <w:p w14:paraId="64D15B77" w14:textId="7D0A8A9E" w:rsidR="008C6030" w:rsidRDefault="00457CE6" w:rsidP="003A63CD">
      <w:pPr>
        <w:spacing w:after="100" w:afterAutospacing="1" w:line="276" w:lineRule="auto"/>
      </w:pPr>
      <w:r>
        <w:t>In particolare, le “prassi legittime” rappresentano una procedura sotto la quale l’investitore ha certezza che la sua condotta non possa essere qualificata quale artificio o atto comunque manipolativo del mercato. Con l’ammissione della prassi si ha infatti una ridefinizione del concetto di manipolazione, che deve essere comunque relazionato con l’idoneità ingannatoria rispetto all’</w:t>
      </w:r>
      <w:r w:rsidR="00170FF9">
        <w:t>investitore ragionevole. In tal senso, la circo</w:t>
      </w:r>
      <w:r w:rsidR="006775EE">
        <w:t xml:space="preserve">         </w:t>
      </w:r>
      <w:r w:rsidR="00170FF9">
        <w:t>stanza che la cond</w:t>
      </w:r>
      <w:r w:rsidR="008C6030">
        <w:t>otta, per essere ammessa, necessiti di alcuni requisiti di</w:t>
      </w:r>
      <w:r w:rsidR="00170FF9">
        <w:t xml:space="preserve"> trasparenza implica </w:t>
      </w:r>
      <w:r w:rsidR="00170FF9" w:rsidRPr="00170FF9">
        <w:rPr>
          <w:i/>
        </w:rPr>
        <w:t>in re ipsa</w:t>
      </w:r>
      <w:r w:rsidR="00170FF9">
        <w:t xml:space="preserve"> la sua inidoneità ingannatoria nei confronti dei risparmiatori, i quali riceveranno apposita comunicazione in merito ad essa.</w:t>
      </w:r>
    </w:p>
    <w:p w14:paraId="2A05FF2B" w14:textId="2CD3F967" w:rsidR="00457CE6" w:rsidRDefault="00170FF9" w:rsidP="003A63CD">
      <w:pPr>
        <w:spacing w:after="100" w:afterAutospacing="1" w:line="276" w:lineRule="auto"/>
      </w:pPr>
      <w:r>
        <w:t xml:space="preserve"> </w:t>
      </w:r>
      <w:r w:rsidR="008C6030">
        <w:t xml:space="preserve">Il richiamo al concetto di prassi non deve peraltro trarre in inganno sulla loro origine: non può sostenersi una genesi consuetudinaria perché essa contrasterebbe con le esigenze di certezza del mercato, che richiedono una legge scritta, oltre che con </w:t>
      </w:r>
      <w:r w:rsidR="000A1AE0">
        <w:t>il rispetto delle</w:t>
      </w:r>
      <w:r w:rsidR="008C6030">
        <w:t xml:space="preserve"> norme europee</w:t>
      </w:r>
      <w:r w:rsidR="000A1AE0">
        <w:t>,</w:t>
      </w:r>
      <w:r w:rsidR="008C6030">
        <w:t xml:space="preserve"> </w:t>
      </w:r>
      <w:r w:rsidR="006775EE">
        <w:t xml:space="preserve">che </w:t>
      </w:r>
      <w:r w:rsidR="000A1AE0">
        <w:t>esigono una valutazione da parte delle autorità nazionali di settore al fine di garantire l’integrità del mercato</w:t>
      </w:r>
      <w:r w:rsidR="008C6030">
        <w:t>.</w:t>
      </w:r>
    </w:p>
    <w:p w14:paraId="7ECC2DBF" w14:textId="77777777" w:rsidR="006775EE" w:rsidRDefault="008C6030" w:rsidP="003A63CD">
      <w:pPr>
        <w:spacing w:after="100" w:afterAutospacing="1" w:line="276" w:lineRule="auto"/>
      </w:pPr>
      <w:r>
        <w:t xml:space="preserve">Al contrario, </w:t>
      </w:r>
      <w:r w:rsidR="001C0C02">
        <w:t>la complessa procedura di ammissione della prassi comporta un insieme di valutazioni ben lontane dalla semplice ricognizione o formalizzazione di quanto già avviene sul mercato.</w:t>
      </w:r>
      <w:r w:rsidR="001A7286">
        <w:t xml:space="preserve"> Del resto</w:t>
      </w:r>
      <w:r w:rsidR="00780371">
        <w:t>,</w:t>
      </w:r>
      <w:r w:rsidR="001A7286">
        <w:t xml:space="preserve"> la presenza di numerosi articoli che definiscono le modalità di attuazione della prassi e le soglie entro le quali </w:t>
      </w:r>
      <w:r w:rsidR="00780371">
        <w:t>essa si considera ammessa rendono</w:t>
      </w:r>
      <w:r w:rsidR="001A7286">
        <w:t xml:space="preserve"> difficilmente ipotizzabile il loro so</w:t>
      </w:r>
      <w:r w:rsidR="00622E7C">
        <w:t>rgere dalla pratica dei m</w:t>
      </w:r>
      <w:r w:rsidR="00780371">
        <w:t xml:space="preserve">ercati, similmente a quanto avviene </w:t>
      </w:r>
      <w:r w:rsidR="00622E7C">
        <w:t>per gli usi contrattuali richiamati dall’art. 1340 del codice civile</w:t>
      </w:r>
      <w:r w:rsidR="00780371">
        <w:t xml:space="preserve"> (ri</w:t>
      </w:r>
      <w:r w:rsidR="006775EE">
        <w:t>feribili, infatti, a tipologie di “mercato” completamente diverse</w:t>
      </w:r>
      <w:r w:rsidR="00780371">
        <w:t>)</w:t>
      </w:r>
      <w:r w:rsidR="00622E7C">
        <w:t>.</w:t>
      </w:r>
    </w:p>
    <w:p w14:paraId="2DAB3D4C" w14:textId="0ADA8AC6" w:rsidR="008C6030" w:rsidRDefault="006775EE" w:rsidP="003A63CD">
      <w:pPr>
        <w:spacing w:after="100" w:afterAutospacing="1" w:line="276" w:lineRule="auto"/>
      </w:pPr>
      <w:r>
        <w:t xml:space="preserve">Se la prassi ammessa dovrà avere </w:t>
      </w:r>
      <w:r w:rsidR="001A7286">
        <w:t xml:space="preserve">un chiaro riferimento ad una pratica </w:t>
      </w:r>
      <w:r>
        <w:t xml:space="preserve">che potrebbe essere attuata </w:t>
      </w:r>
      <w:r w:rsidR="001A7286">
        <w:t>sul mercato</w:t>
      </w:r>
      <w:r w:rsidR="00780371">
        <w:t>,</w:t>
      </w:r>
      <w:r>
        <w:t xml:space="preserve"> si dovrà evitare l’equivoco di considerare una precedente pratica di mercato quale requisito per la sua ammissione.</w:t>
      </w:r>
    </w:p>
    <w:p w14:paraId="6DAD134D" w14:textId="35B7661F" w:rsidR="001B33C3" w:rsidRDefault="0045420D" w:rsidP="003A63CD">
      <w:pPr>
        <w:spacing w:after="100" w:afterAutospacing="1" w:line="276" w:lineRule="auto"/>
      </w:pPr>
      <w:r>
        <w:t>Inoltre l</w:t>
      </w:r>
      <w:r w:rsidR="00667E31">
        <w:t>’attuazione</w:t>
      </w:r>
      <w:r w:rsidR="001B33C3">
        <w:t xml:space="preserve"> della prassi però non potrà essere usato come </w:t>
      </w:r>
      <w:r w:rsidR="001B33C3" w:rsidRPr="001B33C3">
        <w:rPr>
          <w:i/>
        </w:rPr>
        <w:t>escamotage</w:t>
      </w:r>
      <w:r w:rsidR="001B33C3">
        <w:t xml:space="preserve"> per produrre </w:t>
      </w:r>
      <w:r w:rsidR="00667E31">
        <w:t>effetti comunque artificiosi</w:t>
      </w:r>
      <w:r>
        <w:t xml:space="preserve"> perché suo ulteriore </w:t>
      </w:r>
      <w:r w:rsidR="004A2796">
        <w:t xml:space="preserve">requisito </w:t>
      </w:r>
      <w:r>
        <w:t>sarà la legittimità dei motivi economici con cui è posta in essere</w:t>
      </w:r>
      <w:r w:rsidR="005B40BC">
        <w:t>.</w:t>
      </w:r>
      <w:r>
        <w:t xml:space="preserve"> Si deve</w:t>
      </w:r>
      <w:r w:rsidR="004A2796">
        <w:t>, infatti,</w:t>
      </w:r>
      <w:r>
        <w:t xml:space="preserve"> rigettare </w:t>
      </w:r>
      <w:r w:rsidR="004A2796">
        <w:t>una visione</w:t>
      </w:r>
      <w:r>
        <w:t xml:space="preserve"> soggettiva</w:t>
      </w:r>
      <w:r w:rsidR="004A2796">
        <w:t xml:space="preserve"> di tale legittimità</w:t>
      </w:r>
      <w:r>
        <w:t>, incentrata sul disvalore di intenzione dell’agente, e valorizzare lo scopo economico in funzione del quale essa è stata ammessa.</w:t>
      </w:r>
    </w:p>
    <w:p w14:paraId="5D24C034" w14:textId="21E35FBA" w:rsidR="00324D0B" w:rsidRDefault="0089110C" w:rsidP="00CA64C0">
      <w:pPr>
        <w:spacing w:after="100" w:afterAutospacing="1" w:line="276" w:lineRule="auto"/>
      </w:pPr>
      <w:r>
        <w:t>La presenza delle</w:t>
      </w:r>
      <w:r w:rsidR="00324D0B">
        <w:t xml:space="preserve"> c.d. “prassi legittime”</w:t>
      </w:r>
      <w:r w:rsidR="00CA478A">
        <w:t xml:space="preserve">, sia che si ritengano esse un limite esegetico, sia che </w:t>
      </w:r>
      <w:r w:rsidR="00CA64C0">
        <w:t>siano qualificate come causa di giustificazione, escluderanno la sussistenza dell’illecito amministrativo. Ragioni di coerenza e sistemiche inducono a ritenere che</w:t>
      </w:r>
      <w:r w:rsidR="00667C6E">
        <w:t>,</w:t>
      </w:r>
      <w:r w:rsidR="00CA64C0">
        <w:t xml:space="preserve"> </w:t>
      </w:r>
      <w:r w:rsidR="00420B92">
        <w:t>ove sia stato escluso l’illecito amministrativo, dovrà altresì essere escluso quello penale</w:t>
      </w:r>
      <w:r w:rsidR="00053573">
        <w:t>. Infatti</w:t>
      </w:r>
      <w:r w:rsidR="00667C6E">
        <w:t>,</w:t>
      </w:r>
      <w:r w:rsidR="00C64688">
        <w:t xml:space="preserve"> il principio costituzionale di frammentarietà del diritto penale</w:t>
      </w:r>
      <w:r w:rsidR="00CF079F">
        <w:t>, che vuole riservare l’</w:t>
      </w:r>
      <w:r w:rsidR="00CF079F" w:rsidRPr="00CF079F">
        <w:rPr>
          <w:i/>
        </w:rPr>
        <w:t>extrema ratio</w:t>
      </w:r>
      <w:r w:rsidR="00CF079F">
        <w:t xml:space="preserve"> della</w:t>
      </w:r>
      <w:r w:rsidR="00C64688">
        <w:t xml:space="preserve"> sanzione penale ai soli fatti illeciti più gravi, può essere un utile ausilio, in sede interpretativa, per delineare i confini del reato.</w:t>
      </w:r>
    </w:p>
    <w:p w14:paraId="5123ADD0" w14:textId="1A2EDB24" w:rsidR="00CF079F" w:rsidRDefault="00CF079F" w:rsidP="00CF079F">
      <w:pPr>
        <w:spacing w:after="100" w:afterAutospacing="1" w:line="276" w:lineRule="auto"/>
      </w:pPr>
      <w:r>
        <w:t xml:space="preserve">Il discorso può essere esteso, più in generale, al rapporto tra illecito penale ed illecito amministrativo, specialmente </w:t>
      </w:r>
      <w:r w:rsidR="00CD73AE">
        <w:t xml:space="preserve">dopo che la </w:t>
      </w:r>
      <w:r>
        <w:t>sentenza della Corte EDU sul caso Grande Stevens</w:t>
      </w:r>
      <w:r w:rsidR="00CD73AE">
        <w:t xml:space="preserve"> ha di fatto imposto un’interpretazione del rapporto tra illeciti basata sul principio di specialità</w:t>
      </w:r>
      <w:r>
        <w:t>. Tale soluzione avrà però soltanto un valore interpretativo</w:t>
      </w:r>
      <w:r w:rsidR="00CD73AE">
        <w:t xml:space="preserve"> e non risolverà</w:t>
      </w:r>
      <w:r>
        <w:t xml:space="preserve"> completamente i problemi causati dal delitto, che presenta ancora profili di indeterminatezza. Infatti, </w:t>
      </w:r>
      <w:r w:rsidR="00453830">
        <w:t>prassi legittime ed illecito amministrativo</w:t>
      </w:r>
      <w:r>
        <w:t xml:space="preserve"> segnano il </w:t>
      </w:r>
      <w:r w:rsidR="00453830">
        <w:t>limite</w:t>
      </w:r>
      <w:r>
        <w:t xml:space="preserve"> oltre il quale si può dire con sicurezza che non sussisterà il reato, mentre manca ancora un’indicazione altrettanto certa sulla sua collocazione effettiva</w:t>
      </w:r>
      <w:r w:rsidR="00453830">
        <w:t xml:space="preserve"> all’interno di quest’area</w:t>
      </w:r>
      <w:r>
        <w:t>.</w:t>
      </w:r>
    </w:p>
    <w:p w14:paraId="50E6735D" w14:textId="7D5A5250" w:rsidR="00014B4B" w:rsidRDefault="008C6030" w:rsidP="003A63CD">
      <w:pPr>
        <w:spacing w:after="100" w:afterAutospacing="1" w:line="276" w:lineRule="auto"/>
      </w:pPr>
      <w:r>
        <w:t>Un passo verso la determinatezza del delitto potrebbe essere l’inserimento di altri esempi di manipolazione in sostituzione degli “altri arti</w:t>
      </w:r>
      <w:r w:rsidR="001C0C02">
        <w:t xml:space="preserve">fici” ad opera del legislatore. </w:t>
      </w:r>
      <w:r w:rsidR="00014B4B">
        <w:t>Così alla diffusione di notizie false ed al compimento di operazioni simulate po</w:t>
      </w:r>
      <w:r w:rsidR="003C5618">
        <w:t>trebbero affiancarsi le</w:t>
      </w:r>
      <w:r w:rsidR="00833921">
        <w:t xml:space="preserve"> operazioni che fissano il prezzo</w:t>
      </w:r>
      <w:r w:rsidR="003C5618">
        <w:t xml:space="preserve"> degli strumenti finanziari</w:t>
      </w:r>
      <w:r w:rsidR="00833921">
        <w:t xml:space="preserve"> e </w:t>
      </w:r>
      <w:r w:rsidR="003C5618">
        <w:t>le</w:t>
      </w:r>
      <w:r w:rsidR="00833921">
        <w:t xml:space="preserve"> operazioni ingannevoli,</w:t>
      </w:r>
      <w:r w:rsidR="003C5618">
        <w:t xml:space="preserve"> ipotesi</w:t>
      </w:r>
      <w:r w:rsidR="00833921">
        <w:t xml:space="preserve"> che si possono rintracciare già come illeciti amministrativi.</w:t>
      </w:r>
    </w:p>
    <w:p w14:paraId="42A0DDBE" w14:textId="76877FEA" w:rsidR="00833921" w:rsidRDefault="00833921" w:rsidP="00BA74C2">
      <w:pPr>
        <w:spacing w:after="100" w:afterAutospacing="1" w:line="276" w:lineRule="auto"/>
      </w:pPr>
      <w:r>
        <w:t xml:space="preserve">Sebbene </w:t>
      </w:r>
      <w:r w:rsidR="006877D7">
        <w:t>rimarrebbe</w:t>
      </w:r>
      <w:r>
        <w:t xml:space="preserve"> ancora un margine di indeterminatezza nelle operazioni ingannevoli</w:t>
      </w:r>
      <w:r w:rsidR="00DC3716">
        <w:t>,</w:t>
      </w:r>
      <w:r w:rsidR="006877D7">
        <w:t xml:space="preserve"> quale ipotesi </w:t>
      </w:r>
      <w:r w:rsidR="00700D10">
        <w:t>d</w:t>
      </w:r>
      <w:r w:rsidR="006877D7">
        <w:t>a</w:t>
      </w:r>
      <w:r w:rsidR="00700D10">
        <w:t>l</w:t>
      </w:r>
      <w:r w:rsidR="006877D7">
        <w:t xml:space="preserve"> contenuto residuale,</w:t>
      </w:r>
      <w:r>
        <w:t xml:space="preserve"> essa sarebbe minore di quella del termine “artifici” e il suo ambito applicativo sarebbe ulteriormente limitato dalla </w:t>
      </w:r>
      <w:r w:rsidR="006877D7">
        <w:t xml:space="preserve">enucleazione di un ulteriore caso di manipolazione, a tutto vantaggio della </w:t>
      </w:r>
      <w:r>
        <w:t xml:space="preserve">pregnanza della fattispecie. </w:t>
      </w:r>
    </w:p>
    <w:p w14:paraId="2DE70947" w14:textId="1D202CE0" w:rsidR="00736A13" w:rsidRDefault="00700D10" w:rsidP="00BA74C2">
      <w:pPr>
        <w:spacing w:after="100" w:afterAutospacing="1" w:line="276" w:lineRule="auto"/>
      </w:pPr>
      <w:r>
        <w:t>Con l</w:t>
      </w:r>
      <w:r w:rsidR="00736A13">
        <w:t>a</w:t>
      </w:r>
      <w:r>
        <w:t xml:space="preserve"> nuova direttiva europea contro gli abusi di mercato</w:t>
      </w:r>
      <w:r w:rsidR="00DC3716">
        <w:t xml:space="preserve"> del </w:t>
      </w:r>
      <w:r w:rsidR="009615B7">
        <w:t>16 aprile 2014</w:t>
      </w:r>
      <w:r w:rsidR="00D90504">
        <w:t xml:space="preserve"> (c.d. MAD2), </w:t>
      </w:r>
      <w:r w:rsidR="009615B7">
        <w:t>che entrerà pienamente in vigore dal 2 luglio 2016</w:t>
      </w:r>
      <w:r w:rsidR="00D90504">
        <w:t>,</w:t>
      </w:r>
      <w:r w:rsidR="00736A13">
        <w:t xml:space="preserve"> </w:t>
      </w:r>
      <w:r w:rsidR="00BA74C2">
        <w:t xml:space="preserve">si potrebbe </w:t>
      </w:r>
      <w:r w:rsidR="00736A13">
        <w:t>apr</w:t>
      </w:r>
      <w:r w:rsidR="00BA74C2">
        <w:t>ire un ulteriore fronte di polemiche, che per vero</w:t>
      </w:r>
      <w:r w:rsidR="00736A13">
        <w:t xml:space="preserve"> </w:t>
      </w:r>
      <w:r w:rsidR="00BA74C2">
        <w:t xml:space="preserve">sarebbe </w:t>
      </w:r>
      <w:r w:rsidR="00736A13">
        <w:t xml:space="preserve">estensibile all’intera competenza penale europea, quando questa sarà esercitata. Ci si riferisce precipuamente alla </w:t>
      </w:r>
      <w:r w:rsidR="009615B7">
        <w:t xml:space="preserve">carenza </w:t>
      </w:r>
      <w:r w:rsidR="00736A13">
        <w:t xml:space="preserve">di legittimazione dell’Unione europea ad emanare norme penali, </w:t>
      </w:r>
      <w:r w:rsidR="009615B7">
        <w:t>carenza</w:t>
      </w:r>
      <w:r w:rsidR="00736A13">
        <w:t xml:space="preserve"> per cui l’Unione riceve crescenti critiche.</w:t>
      </w:r>
    </w:p>
    <w:p w14:paraId="135BB034" w14:textId="6482D196" w:rsidR="00736A13" w:rsidRDefault="00736A13" w:rsidP="00BA74C2">
      <w:pPr>
        <w:spacing w:after="100" w:afterAutospacing="1" w:line="276" w:lineRule="auto"/>
      </w:pPr>
      <w:r>
        <w:t xml:space="preserve">È fatto noto che, con il Trattato di Lisbona, l’Unione europea può prevedere con direttiva </w:t>
      </w:r>
      <w:r w:rsidRPr="00BA74C2">
        <w:rPr>
          <w:rFonts w:cs="Times New Roman"/>
          <w:i/>
        </w:rPr>
        <w:t>«norme minime relative alla definizione dei reati e delle sanzioni»</w:t>
      </w:r>
      <w:r>
        <w:rPr>
          <w:rFonts w:cs="Times New Roman"/>
        </w:rPr>
        <w:t>,</w:t>
      </w:r>
      <w:r>
        <w:t xml:space="preserve"> a norma del secondo paragrafo dell’art. 83 del T</w:t>
      </w:r>
      <w:r w:rsidR="00BA74C2">
        <w:t>FUE</w:t>
      </w:r>
      <w:r>
        <w:t xml:space="preserve">, quando ciò sia </w:t>
      </w:r>
      <w:r w:rsidRPr="00BA74C2">
        <w:rPr>
          <w:rFonts w:cs="Times New Roman"/>
          <w:i/>
        </w:rPr>
        <w:t>«</w:t>
      </w:r>
      <w:r w:rsidRPr="00BA74C2">
        <w:rPr>
          <w:i/>
        </w:rPr>
        <w:t>indispensabile per garantire l’attuazione efficace di una politica dell’Unione in un settore che è stato oggetto di armonizzazione</w:t>
      </w:r>
      <w:r w:rsidRPr="00BA74C2">
        <w:rPr>
          <w:rFonts w:cs="Times New Roman"/>
          <w:i/>
        </w:rPr>
        <w:t>»</w:t>
      </w:r>
      <w:r>
        <w:t>.</w:t>
      </w:r>
    </w:p>
    <w:p w14:paraId="3F837257" w14:textId="07E31A77" w:rsidR="00736A13" w:rsidRDefault="00736A13" w:rsidP="00BA74C2">
      <w:pPr>
        <w:spacing w:after="100" w:afterAutospacing="1" w:line="276" w:lineRule="auto"/>
      </w:pPr>
      <w:r>
        <w:t xml:space="preserve">L’interrogativo che si pone, pur nella ristrettezza di queste conclusioni, </w:t>
      </w:r>
      <w:r w:rsidR="00811E1F">
        <w:t xml:space="preserve">non riguarda l’aspetto formale del principio di legalità, peraltro sempre garantito dalla circostanza che la direttiva in materia penale dovrà essere recepita dai parlamenti nazionali, ma il </w:t>
      </w:r>
      <w:r>
        <w:t>grado minimo di democraticità che</w:t>
      </w:r>
      <w:r w:rsidR="00BA74C2">
        <w:t xml:space="preserve"> tradizionalmente</w:t>
      </w:r>
      <w:r>
        <w:t xml:space="preserve"> caratterizza la riserva di legge in materia penale.</w:t>
      </w:r>
    </w:p>
    <w:p w14:paraId="76D2162F" w14:textId="0E617534" w:rsidR="0048182C" w:rsidRDefault="00736A13" w:rsidP="00BA74C2">
      <w:pPr>
        <w:spacing w:after="100" w:afterAutospacing="1" w:line="276" w:lineRule="auto"/>
      </w:pPr>
      <w:r>
        <w:t>Proprio nel diritto penale la riserva di legge trova u</w:t>
      </w:r>
      <w:r w:rsidR="00811E1F">
        <w:t>na delle sue forme più compiute</w:t>
      </w:r>
      <w:r w:rsidR="009615B7">
        <w:t>,</w:t>
      </w:r>
      <w:r w:rsidR="00811E1F">
        <w:t xml:space="preserve"> perché vede i rappresentanti del popolo deliberare in merito ai fatti suscettibili di essere sottoposti alla sanzione massima, che è quella penale. Il Trattato di Lisbona ha introdotto la procedura legislativa ordinaria, in base alla quale Parlamento europeo e Consiglio dell’Unione discutono una proposta di direttiva redatta dalla Commissione</w:t>
      </w:r>
      <w:r w:rsidR="0048182C">
        <w:t xml:space="preserve"> </w:t>
      </w:r>
      <w:r w:rsidR="009615B7">
        <w:t>s’intanto</w:t>
      </w:r>
      <w:r w:rsidR="0048182C">
        <w:t xml:space="preserve"> che non trovano un accordo su un testo comune. </w:t>
      </w:r>
    </w:p>
    <w:p w14:paraId="3C4C40E3" w14:textId="77777777" w:rsidR="00F42871" w:rsidRDefault="0048182C" w:rsidP="00BA74C2">
      <w:pPr>
        <w:spacing w:after="100" w:afterAutospacing="1" w:line="276" w:lineRule="auto"/>
      </w:pPr>
      <w:r>
        <w:t xml:space="preserve">La carenza di democraticità può rintracciarsi nella preminente rappresentanza degli esecutivi nel processo legislativo, siano essi nazionali, come nel Consiglio, o europeo, come per la Commissione. A tale rapporto sembra potersi paragonare quello tra Governo e Parlamento nell’adozione dei decreti legislativi, ma con una posizione ancora più preminente dell’esecutivo. Il tasso di democraticità </w:t>
      </w:r>
      <w:r w:rsidR="0011343A">
        <w:t>appare</w:t>
      </w:r>
      <w:r>
        <w:t xml:space="preserve"> sufficiente </w:t>
      </w:r>
      <w:r w:rsidR="0011343A">
        <w:t xml:space="preserve">poiché la direttiva </w:t>
      </w:r>
      <w:r>
        <w:t>è chiamata a stabilire</w:t>
      </w:r>
      <w:r w:rsidR="0011343A">
        <w:t xml:space="preserve"> solo norme penali minime, anche se è auspicabile un maggior coinvol</w:t>
      </w:r>
      <w:r w:rsidR="00F42871">
        <w:t>gimento del Parlamento europeo.</w:t>
      </w:r>
    </w:p>
    <w:p w14:paraId="6168ABB0" w14:textId="73FC988D" w:rsidR="00AB34C7" w:rsidRDefault="00F42871" w:rsidP="00BA74C2">
      <w:pPr>
        <w:spacing w:after="100" w:afterAutospacing="1" w:line="276" w:lineRule="auto"/>
      </w:pPr>
      <w:r>
        <w:t>L’art. 83 del TFUE richiede inoltre che l’adozione della sanzione penale sia indispensabile</w:t>
      </w:r>
      <w:r w:rsidR="00273C94">
        <w:t xml:space="preserve"> ad attuare le politiche dell’Unione </w:t>
      </w:r>
      <w:r w:rsidR="00AB34C7">
        <w:t>dal punto di vista</w:t>
      </w:r>
      <w:r w:rsidR="00273C94">
        <w:t xml:space="preserve"> del principio di sussidiarietà, che</w:t>
      </w:r>
      <w:r w:rsidR="00AB34C7">
        <w:t xml:space="preserve"> così assume un valore anche a livello europeo</w:t>
      </w:r>
      <w:r w:rsidR="00273C94">
        <w:t xml:space="preserve">. </w:t>
      </w:r>
      <w:r w:rsidR="00AB34C7">
        <w:t>La MAD2 avrebbe avuto l’onere di motivare su tale indispensabilità, ma ciò non è avvenuto ed è stato contestato dal Parlamento tedesco. Sebbene non vi sia questione su tale indispensabilità</w:t>
      </w:r>
      <w:r w:rsidR="00D90504">
        <w:t>,</w:t>
      </w:r>
      <w:r w:rsidR="00AB34C7">
        <w:t xml:space="preserve"> perché la natura degli abusi di mercato obbliga, di fatto, il </w:t>
      </w:r>
      <w:r w:rsidR="00B31C3E">
        <w:t>legislatore</w:t>
      </w:r>
      <w:r w:rsidR="00AB34C7">
        <w:t xml:space="preserve"> a prevedere sanzioni penali uniformi, l’assenza di tale motivazione potrebbe costituire un vizio formale di legittimità della direttiva d</w:t>
      </w:r>
      <w:r w:rsidR="000F3414">
        <w:t>a sottoporre alla Corte di Gius</w:t>
      </w:r>
      <w:r w:rsidR="00AB34C7">
        <w:t>tizia.</w:t>
      </w:r>
    </w:p>
    <w:p w14:paraId="20F3B89D" w14:textId="4D2BAD59" w:rsidR="00057644" w:rsidRDefault="004F27FA" w:rsidP="003A63CD">
      <w:pPr>
        <w:spacing w:after="100" w:afterAutospacing="1" w:line="276" w:lineRule="auto"/>
      </w:pPr>
      <w:r>
        <w:t xml:space="preserve">Peraltro sembra che </w:t>
      </w:r>
      <w:r w:rsidR="00751013">
        <w:t>a</w:t>
      </w:r>
      <w:r>
        <w:t>i problemi</w:t>
      </w:r>
      <w:r w:rsidR="00751013">
        <w:t xml:space="preserve"> della MAD2 esaminati </w:t>
      </w:r>
      <w:r w:rsidR="00751013" w:rsidRPr="00751013">
        <w:rPr>
          <w:i/>
        </w:rPr>
        <w:t>prima facie</w:t>
      </w:r>
      <w:r>
        <w:t xml:space="preserve"> </w:t>
      </w:r>
      <w:r w:rsidR="004E4907">
        <w:t xml:space="preserve">si possano aggiungere quelli </w:t>
      </w:r>
      <w:r>
        <w:t>di determinatezza</w:t>
      </w:r>
      <w:r w:rsidR="004E4907">
        <w:t>, ma in chiave europea. Infatti</w:t>
      </w:r>
      <w:r w:rsidR="0069057A">
        <w:t>,</w:t>
      </w:r>
      <w:r w:rsidR="004E4907">
        <w:t xml:space="preserve"> se la pregnanza della fattispecie era un problema che nasceva dalla formulazione dell’art. 185 del T.U.F.</w:t>
      </w:r>
      <w:r w:rsidR="00D90504">
        <w:t>,</w:t>
      </w:r>
      <w:r w:rsidR="004E4907">
        <w:t xml:space="preserve"> </w:t>
      </w:r>
      <w:r w:rsidR="0069057A">
        <w:t>ma</w:t>
      </w:r>
      <w:r w:rsidR="004E4907">
        <w:t xml:space="preserve"> rimaneva limitato ai confini italiani, </w:t>
      </w:r>
      <w:r w:rsidR="00057644">
        <w:t>l’evidente carenza di indicazioni su come configurare la fattispecie di reato da parte della nuova direttiva riproporrà la medesima questione in chiave europea.</w:t>
      </w:r>
    </w:p>
    <w:p w14:paraId="3946C47B" w14:textId="405027EE" w:rsidR="00EE583C" w:rsidRDefault="00D337D5" w:rsidP="003A63CD">
      <w:pPr>
        <w:spacing w:after="100" w:afterAutospacing="1" w:line="276" w:lineRule="auto"/>
        <w:rPr>
          <w:rFonts w:cs="Times New Roman"/>
        </w:rPr>
      </w:pPr>
      <w:r>
        <w:t xml:space="preserve">Nello specifico </w:t>
      </w:r>
      <w:r w:rsidR="00AB30B6">
        <w:rPr>
          <w:rFonts w:cs="Times New Roman"/>
        </w:rPr>
        <w:t xml:space="preserve">l’art. 5, primo comma, della MAD2 prescrive agli Stati membri di adottare </w:t>
      </w:r>
      <w:r w:rsidR="00AB30B6" w:rsidRPr="00911E90">
        <w:rPr>
          <w:rFonts w:cs="Times New Roman"/>
          <w:i/>
        </w:rPr>
        <w:t>«le misure necessarie affinché la manipolazione costituisca reato […] almeno nei casi più gravi e se commessa con dolo»</w:t>
      </w:r>
      <w:r w:rsidR="00770580">
        <w:rPr>
          <w:rFonts w:cs="Times New Roman"/>
        </w:rPr>
        <w:t xml:space="preserve">. Le norme della MAD2 </w:t>
      </w:r>
      <w:r>
        <w:rPr>
          <w:rFonts w:cs="Times New Roman"/>
        </w:rPr>
        <w:t>non danno alcun</w:t>
      </w:r>
      <w:r w:rsidR="00D90504">
        <w:rPr>
          <w:rFonts w:cs="Times New Roman"/>
        </w:rPr>
        <w:t xml:space="preserve"> chiaro</w:t>
      </w:r>
      <w:r>
        <w:rPr>
          <w:rFonts w:cs="Times New Roman"/>
        </w:rPr>
        <w:t xml:space="preserve"> riferimento </w:t>
      </w:r>
      <w:r w:rsidR="00770580">
        <w:rPr>
          <w:rFonts w:cs="Times New Roman"/>
        </w:rPr>
        <w:t>alla nozione di “caso grave di manipolazione”</w:t>
      </w:r>
      <w:r w:rsidR="00403B13">
        <w:rPr>
          <w:rFonts w:cs="Times New Roman"/>
        </w:rPr>
        <w:t xml:space="preserve">. Del resto lo stesso richiamo ai casi più gravi ed al dolo risulta poco </w:t>
      </w:r>
      <w:r w:rsidR="00F13054">
        <w:rPr>
          <w:rFonts w:cs="Times New Roman"/>
        </w:rPr>
        <w:t>indicativo,</w:t>
      </w:r>
      <w:r w:rsidR="00403B13">
        <w:rPr>
          <w:rFonts w:cs="Times New Roman"/>
        </w:rPr>
        <w:t xml:space="preserve"> se si considera che </w:t>
      </w:r>
      <w:r w:rsidR="00F13054">
        <w:rPr>
          <w:rFonts w:cs="Times New Roman"/>
        </w:rPr>
        <w:t>la repressione dei soli fatti gravi e dolosi è un principio generale del diritto penale</w:t>
      </w:r>
      <w:r w:rsidR="00770580">
        <w:rPr>
          <w:rFonts w:cs="Times New Roman"/>
        </w:rPr>
        <w:t>. Le indicazioni che arrivano dal suo dodicesimo considerando</w:t>
      </w:r>
      <w:r w:rsidR="00911E90">
        <w:rPr>
          <w:rStyle w:val="Rimandonotaapidipagina"/>
          <w:rFonts w:cs="Times New Roman"/>
        </w:rPr>
        <w:footnoteReference w:id="140"/>
      </w:r>
      <w:r w:rsidR="00770580">
        <w:rPr>
          <w:rFonts w:cs="Times New Roman"/>
        </w:rPr>
        <w:t xml:space="preserve"> si limitano a far rientrare nella manipolazione alcune condotte</w:t>
      </w:r>
      <w:r w:rsidR="00280859">
        <w:rPr>
          <w:rFonts w:cs="Times New Roman"/>
        </w:rPr>
        <w:t xml:space="preserve"> in</w:t>
      </w:r>
      <w:r w:rsidR="00770580">
        <w:rPr>
          <w:rFonts w:cs="Times New Roman"/>
        </w:rPr>
        <w:t xml:space="preserve"> considera</w:t>
      </w:r>
      <w:r w:rsidR="00280859">
        <w:rPr>
          <w:rFonts w:cs="Times New Roman"/>
        </w:rPr>
        <w:t>zione degli</w:t>
      </w:r>
      <w:r w:rsidR="00770580">
        <w:rPr>
          <w:rFonts w:cs="Times New Roman"/>
        </w:rPr>
        <w:t xml:space="preserve"> effetti che esse producono</w:t>
      </w:r>
      <w:r w:rsidR="00EE583C">
        <w:rPr>
          <w:rFonts w:cs="Times New Roman"/>
        </w:rPr>
        <w:t>.</w:t>
      </w:r>
    </w:p>
    <w:p w14:paraId="1D3623A6" w14:textId="77777777" w:rsidR="005875B6" w:rsidRDefault="00EE583C" w:rsidP="003A63CD">
      <w:pPr>
        <w:spacing w:after="100" w:afterAutospacing="1" w:line="276" w:lineRule="auto"/>
        <w:rPr>
          <w:rFonts w:cs="Times New Roman"/>
        </w:rPr>
      </w:pPr>
      <w:r>
        <w:rPr>
          <w:rFonts w:cs="Times New Roman"/>
        </w:rPr>
        <w:t xml:space="preserve">Sebbene il riferimento agli effetti faccia propendere per l’incriminazione di una condotta che ha prodotto già un qualche risultato tangibile sul mercato, il dato sembra insufficiente per </w:t>
      </w:r>
      <w:r w:rsidR="00D063AF">
        <w:rPr>
          <w:rFonts w:cs="Times New Roman"/>
        </w:rPr>
        <w:t>un’armonizzazione compiuta</w:t>
      </w:r>
      <w:r>
        <w:rPr>
          <w:rFonts w:cs="Times New Roman"/>
        </w:rPr>
        <w:t xml:space="preserve"> </w:t>
      </w:r>
      <w:r w:rsidR="00D063AF">
        <w:rPr>
          <w:rFonts w:cs="Times New Roman"/>
        </w:rPr>
        <w:t>del</w:t>
      </w:r>
      <w:r>
        <w:rPr>
          <w:rFonts w:cs="Times New Roman"/>
        </w:rPr>
        <w:t>le fattispecie penali degli Stati membri, obiettivo dichiarato della MAD2.</w:t>
      </w:r>
      <w:r w:rsidR="00D337D5">
        <w:rPr>
          <w:rFonts w:cs="Times New Roman"/>
        </w:rPr>
        <w:t xml:space="preserve"> Gli Stati membri potrebbero trovarsi nella condizione di dover incriminare anche le condotte la cui gravità </w:t>
      </w:r>
      <w:r w:rsidR="00D063AF">
        <w:rPr>
          <w:rFonts w:cs="Times New Roman"/>
        </w:rPr>
        <w:t>è</w:t>
      </w:r>
      <w:r w:rsidR="00D337D5">
        <w:rPr>
          <w:rFonts w:cs="Times New Roman"/>
        </w:rPr>
        <w:t xml:space="preserve"> dubbia per </w:t>
      </w:r>
      <w:r w:rsidR="00D063AF">
        <w:rPr>
          <w:rFonts w:cs="Times New Roman"/>
        </w:rPr>
        <w:t>adempiere</w:t>
      </w:r>
      <w:r w:rsidR="00D337D5">
        <w:rPr>
          <w:rFonts w:cs="Times New Roman"/>
        </w:rPr>
        <w:t xml:space="preserve"> </w:t>
      </w:r>
      <w:r w:rsidR="00D063AF">
        <w:rPr>
          <w:rFonts w:cs="Times New Roman"/>
        </w:rPr>
        <w:t>al</w:t>
      </w:r>
      <w:r w:rsidR="00D337D5">
        <w:rPr>
          <w:rFonts w:cs="Times New Roman"/>
        </w:rPr>
        <w:t xml:space="preserve">la MAD2, </w:t>
      </w:r>
      <w:r w:rsidR="00D063AF">
        <w:rPr>
          <w:rFonts w:cs="Times New Roman"/>
        </w:rPr>
        <w:t>senza però così</w:t>
      </w:r>
      <w:r w:rsidR="00D337D5">
        <w:rPr>
          <w:rFonts w:cs="Times New Roman"/>
        </w:rPr>
        <w:t xml:space="preserve"> delineare una fattispecie penale sostanzialmente unica a livello europeo.</w:t>
      </w:r>
      <w:r w:rsidR="00046130">
        <w:rPr>
          <w:rFonts w:cs="Times New Roman"/>
        </w:rPr>
        <w:t xml:space="preserve"> </w:t>
      </w:r>
    </w:p>
    <w:p w14:paraId="78B48A52" w14:textId="31521A9D" w:rsidR="00046130" w:rsidRDefault="00D337D5" w:rsidP="003A63CD">
      <w:pPr>
        <w:spacing w:after="100" w:afterAutospacing="1" w:line="276" w:lineRule="auto"/>
        <w:rPr>
          <w:rFonts w:cs="Times New Roman"/>
        </w:rPr>
      </w:pPr>
      <w:r>
        <w:rPr>
          <w:rFonts w:cs="Times New Roman"/>
        </w:rPr>
        <w:t>Il tema s</w:t>
      </w:r>
      <w:r w:rsidR="00046130">
        <w:rPr>
          <w:rFonts w:cs="Times New Roman"/>
        </w:rPr>
        <w:t xml:space="preserve">i ripropone rispetto alla necessità di </w:t>
      </w:r>
      <w:r w:rsidR="00FA1F9E">
        <w:rPr>
          <w:rFonts w:cs="Times New Roman"/>
        </w:rPr>
        <w:t>prevedere come reato</w:t>
      </w:r>
      <w:r w:rsidR="00046130">
        <w:rPr>
          <w:rFonts w:cs="Times New Roman"/>
        </w:rPr>
        <w:t xml:space="preserve"> anche l’induzione, il favoreggiamento, il concorso ed il tentativo.</w:t>
      </w:r>
      <w:r w:rsidR="007A0615">
        <w:rPr>
          <w:rFonts w:cs="Times New Roman"/>
        </w:rPr>
        <w:t xml:space="preserve"> Si deve </w:t>
      </w:r>
      <w:r w:rsidR="00FA1F9E">
        <w:rPr>
          <w:rFonts w:cs="Times New Roman"/>
        </w:rPr>
        <w:t xml:space="preserve">a tal proposito </w:t>
      </w:r>
      <w:r w:rsidR="007A0615">
        <w:rPr>
          <w:rFonts w:cs="Times New Roman"/>
        </w:rPr>
        <w:t>rilevare come non sussista un’unica e certa nozione di tali istituti a livello europeo</w:t>
      </w:r>
      <w:r w:rsidR="005875B6">
        <w:rPr>
          <w:rFonts w:cs="Times New Roman"/>
        </w:rPr>
        <w:t>, né essa sia stata fornita dalla MAD2</w:t>
      </w:r>
      <w:r w:rsidR="007A0615">
        <w:rPr>
          <w:rFonts w:cs="Times New Roman"/>
        </w:rPr>
        <w:t>.</w:t>
      </w:r>
      <w:r w:rsidR="00995C1E">
        <w:rPr>
          <w:rFonts w:cs="Times New Roman"/>
        </w:rPr>
        <w:t xml:space="preserve"> Inoltre l’incriminazione anche delle condotte che costituiscono tentativo pone la soglia di punibilità ad un livello eccessivamente anticipato, tanto che sorge il dubbio di quale spazio residuerebbe per l’illecito amministrativo.</w:t>
      </w:r>
    </w:p>
    <w:p w14:paraId="484C9953" w14:textId="29CBCF9D" w:rsidR="00CE19A7" w:rsidRDefault="00127203" w:rsidP="003A63CD">
      <w:pPr>
        <w:spacing w:after="100" w:afterAutospacing="1" w:line="276" w:lineRule="auto"/>
        <w:rPr>
          <w:rFonts w:cs="Times New Roman"/>
        </w:rPr>
      </w:pPr>
      <w:r>
        <w:rPr>
          <w:rFonts w:cs="Times New Roman"/>
        </w:rPr>
        <w:t>La MAD2 definisce le co</w:t>
      </w:r>
      <w:r w:rsidR="00700D82">
        <w:rPr>
          <w:rFonts w:cs="Times New Roman"/>
        </w:rPr>
        <w:t>ndotte</w:t>
      </w:r>
      <w:r w:rsidR="007116E5">
        <w:rPr>
          <w:rFonts w:cs="Times New Roman"/>
        </w:rPr>
        <w:t xml:space="preserve"> manipolative,</w:t>
      </w:r>
      <w:r w:rsidR="00700D82">
        <w:rPr>
          <w:rFonts w:cs="Times New Roman"/>
        </w:rPr>
        <w:t xml:space="preserve"> </w:t>
      </w:r>
      <w:r w:rsidR="007116E5">
        <w:rPr>
          <w:rFonts w:cs="Times New Roman"/>
        </w:rPr>
        <w:t xml:space="preserve">che appaiono essere il risultato di un aggiornamento di quelle già incluse nella MAD e quindi nell’art. 187 </w:t>
      </w:r>
      <w:r w:rsidR="007116E5" w:rsidRPr="00FA1F9E">
        <w:rPr>
          <w:rFonts w:cs="Times New Roman"/>
          <w:i/>
        </w:rPr>
        <w:t>ter</w:t>
      </w:r>
      <w:r w:rsidR="007116E5">
        <w:rPr>
          <w:rFonts w:cs="Times New Roman"/>
        </w:rPr>
        <w:t xml:space="preserve"> del T.U.F., </w:t>
      </w:r>
      <w:r w:rsidR="00700D82">
        <w:rPr>
          <w:rFonts w:cs="Times New Roman"/>
        </w:rPr>
        <w:t>tra le quali gli Stati membri dovranno selezion</w:t>
      </w:r>
      <w:r w:rsidR="007116E5">
        <w:rPr>
          <w:rFonts w:cs="Times New Roman"/>
        </w:rPr>
        <w:t>are quelle da punire penalmente</w:t>
      </w:r>
      <w:r w:rsidR="00E148E0">
        <w:rPr>
          <w:rFonts w:cs="Times New Roman"/>
        </w:rPr>
        <w:t>.</w:t>
      </w:r>
      <w:r w:rsidR="00FA1F9E">
        <w:rPr>
          <w:rFonts w:cs="Times New Roman"/>
        </w:rPr>
        <w:t xml:space="preserve"> </w:t>
      </w:r>
      <w:r w:rsidR="00E148E0">
        <w:rPr>
          <w:rFonts w:cs="Times New Roman"/>
        </w:rPr>
        <w:t>A queste</w:t>
      </w:r>
      <w:r w:rsidR="007116E5">
        <w:rPr>
          <w:rFonts w:cs="Times New Roman"/>
        </w:rPr>
        <w:t xml:space="preserve"> condotte</w:t>
      </w:r>
      <w:r w:rsidR="00E148E0">
        <w:rPr>
          <w:rFonts w:cs="Times New Roman"/>
        </w:rPr>
        <w:t xml:space="preserve"> </w:t>
      </w:r>
      <w:r w:rsidR="00403B13">
        <w:rPr>
          <w:rFonts w:cs="Times New Roman"/>
        </w:rPr>
        <w:t>il</w:t>
      </w:r>
      <w:r w:rsidR="00E148E0">
        <w:rPr>
          <w:rFonts w:cs="Times New Roman"/>
        </w:rPr>
        <w:t xml:space="preserve"> MAR</w:t>
      </w:r>
      <w:r w:rsidR="00CE19A7">
        <w:rPr>
          <w:rFonts w:cs="Times New Roman"/>
        </w:rPr>
        <w:t xml:space="preserve">, regolamento </w:t>
      </w:r>
      <w:r w:rsidR="00D90504">
        <w:rPr>
          <w:rFonts w:cs="Times New Roman"/>
        </w:rPr>
        <w:t>coordinato con</w:t>
      </w:r>
      <w:r w:rsidR="00CE19A7">
        <w:rPr>
          <w:rFonts w:cs="Times New Roman"/>
        </w:rPr>
        <w:t xml:space="preserve"> la MAD2,</w:t>
      </w:r>
      <w:r w:rsidR="00E148E0">
        <w:rPr>
          <w:rFonts w:cs="Times New Roman"/>
        </w:rPr>
        <w:t xml:space="preserve"> aggiunge </w:t>
      </w:r>
      <w:r w:rsidR="001D10FB">
        <w:rPr>
          <w:rFonts w:cs="Times New Roman"/>
        </w:rPr>
        <w:t xml:space="preserve">una fattispecie amministrativa </w:t>
      </w:r>
      <w:r w:rsidR="0043215F">
        <w:rPr>
          <w:rFonts w:cs="Times New Roman"/>
        </w:rPr>
        <w:t>sostanzialmente analoga a</w:t>
      </w:r>
      <w:r w:rsidR="00CE19A7">
        <w:rPr>
          <w:rFonts w:cs="Times New Roman"/>
        </w:rPr>
        <w:t xml:space="preserve">lla condotta manipolativa delineata nella </w:t>
      </w:r>
      <w:r w:rsidR="0043215F">
        <w:rPr>
          <w:rFonts w:cs="Times New Roman"/>
        </w:rPr>
        <w:t xml:space="preserve">MAD2. </w:t>
      </w:r>
    </w:p>
    <w:p w14:paraId="4124EC59" w14:textId="248F2E2B" w:rsidR="0043215F" w:rsidRDefault="0043215F" w:rsidP="003A63CD">
      <w:pPr>
        <w:spacing w:after="100" w:afterAutospacing="1" w:line="276" w:lineRule="auto"/>
        <w:rPr>
          <w:rFonts w:cs="Times New Roman"/>
        </w:rPr>
      </w:pPr>
      <w:r>
        <w:rPr>
          <w:rFonts w:cs="Times New Roman"/>
        </w:rPr>
        <w:t>Nel complesso</w:t>
      </w:r>
      <w:r w:rsidR="00CE19A7">
        <w:rPr>
          <w:rFonts w:cs="Times New Roman"/>
        </w:rPr>
        <w:t>,</w:t>
      </w:r>
      <w:r>
        <w:rPr>
          <w:rFonts w:cs="Times New Roman"/>
        </w:rPr>
        <w:t xml:space="preserve"> la nuova normativa sembra </w:t>
      </w:r>
      <w:r w:rsidR="00CE19A7">
        <w:rPr>
          <w:rFonts w:cs="Times New Roman"/>
        </w:rPr>
        <w:t xml:space="preserve">aumentare di poco la chiarezza della fattispecie, prevedendo </w:t>
      </w:r>
      <w:r w:rsidR="00D90504">
        <w:rPr>
          <w:rFonts w:cs="Times New Roman"/>
        </w:rPr>
        <w:t xml:space="preserve">in un regolamento </w:t>
      </w:r>
      <w:r w:rsidR="00CE19A7">
        <w:rPr>
          <w:rFonts w:cs="Times New Roman"/>
        </w:rPr>
        <w:t>le medesime norme che prima erano incluse in una direttiva</w:t>
      </w:r>
      <w:r w:rsidR="00367F01">
        <w:rPr>
          <w:rFonts w:cs="Times New Roman"/>
        </w:rPr>
        <w:t>. Il contenuto normativo s</w:t>
      </w:r>
      <w:r w:rsidR="002B1DC0">
        <w:rPr>
          <w:rFonts w:cs="Times New Roman"/>
        </w:rPr>
        <w:t>embra però analogo, almeno nell’impostazione</w:t>
      </w:r>
      <w:r w:rsidR="00367F01">
        <w:rPr>
          <w:rFonts w:cs="Times New Roman"/>
        </w:rPr>
        <w:t>, a quello della MAD, di cui però ha esteso l’applicazione</w:t>
      </w:r>
      <w:r w:rsidR="00D90504">
        <w:rPr>
          <w:rFonts w:cs="Times New Roman"/>
        </w:rPr>
        <w:t>,</w:t>
      </w:r>
      <w:r w:rsidR="00367F01">
        <w:rPr>
          <w:rFonts w:cs="Times New Roman"/>
        </w:rPr>
        <w:t xml:space="preserve"> ampliando talune definizioni, tra </w:t>
      </w:r>
      <w:r w:rsidR="00D90504">
        <w:rPr>
          <w:rFonts w:cs="Times New Roman"/>
        </w:rPr>
        <w:t>le quali</w:t>
      </w:r>
      <w:r w:rsidR="00367F01">
        <w:rPr>
          <w:rFonts w:cs="Times New Roman"/>
        </w:rPr>
        <w:t xml:space="preserve"> quella di strumenti finanziari.</w:t>
      </w:r>
      <w:r>
        <w:rPr>
          <w:rFonts w:cs="Times New Roman"/>
        </w:rPr>
        <w:t xml:space="preserve"> </w:t>
      </w:r>
      <w:r w:rsidR="00367F01">
        <w:rPr>
          <w:rFonts w:cs="Times New Roman"/>
        </w:rPr>
        <w:t xml:space="preserve">La previsione di un </w:t>
      </w:r>
      <w:r w:rsidR="004A7A88">
        <w:rPr>
          <w:rFonts w:cs="Times New Roman"/>
        </w:rPr>
        <w:t>illecito amministrativo</w:t>
      </w:r>
      <w:r w:rsidR="00403B13">
        <w:rPr>
          <w:rFonts w:cs="Times New Roman"/>
        </w:rPr>
        <w:t xml:space="preserve"> nel MAR</w:t>
      </w:r>
      <w:r w:rsidR="004A7A88">
        <w:rPr>
          <w:rFonts w:cs="Times New Roman"/>
        </w:rPr>
        <w:t xml:space="preserve"> ripropone con più forza la scelta del “doppio binario” sanzionatorio.</w:t>
      </w:r>
    </w:p>
    <w:p w14:paraId="1E7402AA" w14:textId="666F3606" w:rsidR="00C0586D" w:rsidRDefault="00367F01" w:rsidP="003A63CD">
      <w:pPr>
        <w:spacing w:after="100" w:afterAutospacing="1" w:line="276" w:lineRule="auto"/>
        <w:rPr>
          <w:rFonts w:cs="Times New Roman"/>
        </w:rPr>
      </w:pPr>
      <w:r>
        <w:rPr>
          <w:rFonts w:cs="Times New Roman"/>
        </w:rPr>
        <w:t>La previsione di un illecito amministrativo è comunque resa necessaria</w:t>
      </w:r>
      <w:r w:rsidR="004A7A88">
        <w:rPr>
          <w:rFonts w:cs="Times New Roman"/>
        </w:rPr>
        <w:t>, oltre che dalla necessità di reprimere condotte manipolative di un</w:t>
      </w:r>
      <w:r w:rsidR="002B1DC0">
        <w:rPr>
          <w:rFonts w:cs="Times New Roman"/>
        </w:rPr>
        <w:t>a pericolosità che non si confà ad un reato. Inoltre la</w:t>
      </w:r>
      <w:r w:rsidR="0043215F">
        <w:rPr>
          <w:rFonts w:cs="Times New Roman"/>
        </w:rPr>
        <w:t xml:space="preserve"> volontà di riformare gl</w:t>
      </w:r>
      <w:r w:rsidR="007620CE">
        <w:rPr>
          <w:rFonts w:cs="Times New Roman"/>
        </w:rPr>
        <w:t>i illeciti di abuso di mercato</w:t>
      </w:r>
      <w:r w:rsidR="002B1DC0">
        <w:rPr>
          <w:rFonts w:cs="Times New Roman"/>
        </w:rPr>
        <w:t xml:space="preserve"> e</w:t>
      </w:r>
      <w:r w:rsidR="007620CE">
        <w:rPr>
          <w:rFonts w:cs="Times New Roman"/>
        </w:rPr>
        <w:t xml:space="preserve"> prevede</w:t>
      </w:r>
      <w:r w:rsidR="002B1DC0">
        <w:rPr>
          <w:rFonts w:cs="Times New Roman"/>
        </w:rPr>
        <w:t>re</w:t>
      </w:r>
      <w:r w:rsidR="007620CE">
        <w:rPr>
          <w:rFonts w:cs="Times New Roman"/>
        </w:rPr>
        <w:t xml:space="preserve"> sanzioni penali a norma dell’art. 83 del </w:t>
      </w:r>
      <w:r w:rsidR="002B1DC0">
        <w:rPr>
          <w:rFonts w:cs="Times New Roman"/>
        </w:rPr>
        <w:t>TFUE, deve essere contemperata dalla circostanza che a</w:t>
      </w:r>
      <w:r w:rsidR="007620CE">
        <w:rPr>
          <w:rFonts w:cs="Times New Roman"/>
        </w:rPr>
        <w:t>lcuni Stati membri, in o</w:t>
      </w:r>
      <w:r w:rsidR="002B1DC0">
        <w:rPr>
          <w:rFonts w:cs="Times New Roman"/>
        </w:rPr>
        <w:t xml:space="preserve">ccasione del </w:t>
      </w:r>
      <w:r w:rsidR="007620CE">
        <w:rPr>
          <w:rFonts w:cs="Times New Roman"/>
        </w:rPr>
        <w:t>Trattato</w:t>
      </w:r>
      <w:r w:rsidR="002B1DC0">
        <w:rPr>
          <w:rFonts w:cs="Times New Roman"/>
        </w:rPr>
        <w:t xml:space="preserve"> di Lisbona</w:t>
      </w:r>
      <w:r w:rsidR="007620CE">
        <w:rPr>
          <w:rFonts w:cs="Times New Roman"/>
        </w:rPr>
        <w:t xml:space="preserve">, negoziarono la possibilità di non essere vincolati dalle competenze in materia penale attribuite all’Unione europea (c.d. </w:t>
      </w:r>
      <w:r w:rsidR="007620CE" w:rsidRPr="007620CE">
        <w:rPr>
          <w:rFonts w:cs="Times New Roman"/>
          <w:i/>
        </w:rPr>
        <w:t>opt-out</w:t>
      </w:r>
      <w:r w:rsidR="007620CE">
        <w:rPr>
          <w:rFonts w:cs="Times New Roman"/>
        </w:rPr>
        <w:t>)</w:t>
      </w:r>
      <w:r w:rsidR="007620CE">
        <w:rPr>
          <w:rStyle w:val="Rimandonotaapidipagina"/>
          <w:rFonts w:cs="Times New Roman"/>
        </w:rPr>
        <w:footnoteReference w:id="141"/>
      </w:r>
      <w:r w:rsidR="001562DC">
        <w:rPr>
          <w:rFonts w:cs="Times New Roman"/>
        </w:rPr>
        <w:t>.</w:t>
      </w:r>
      <w:r w:rsidR="007620CE">
        <w:rPr>
          <w:rFonts w:cs="Times New Roman"/>
        </w:rPr>
        <w:t xml:space="preserve"> </w:t>
      </w:r>
      <w:r w:rsidR="001562DC">
        <w:rPr>
          <w:rFonts w:cs="Times New Roman"/>
        </w:rPr>
        <w:t>P</w:t>
      </w:r>
      <w:r w:rsidR="007620CE">
        <w:rPr>
          <w:rFonts w:cs="Times New Roman"/>
        </w:rPr>
        <w:t>ertanto</w:t>
      </w:r>
      <w:r w:rsidR="001562DC">
        <w:rPr>
          <w:rFonts w:cs="Times New Roman"/>
        </w:rPr>
        <w:t>,</w:t>
      </w:r>
      <w:r w:rsidR="00627FBA">
        <w:rPr>
          <w:rFonts w:cs="Times New Roman"/>
        </w:rPr>
        <w:t xml:space="preserve"> la previsione di sanzioni amministrative</w:t>
      </w:r>
      <w:r w:rsidR="006A182B">
        <w:rPr>
          <w:rFonts w:cs="Times New Roman"/>
        </w:rPr>
        <w:t xml:space="preserve"> nel MAR</w:t>
      </w:r>
      <w:r w:rsidR="00627FBA">
        <w:rPr>
          <w:rFonts w:cs="Times New Roman"/>
        </w:rPr>
        <w:t xml:space="preserve"> trova un</w:t>
      </w:r>
      <w:r w:rsidR="006A182B">
        <w:rPr>
          <w:rFonts w:cs="Times New Roman"/>
        </w:rPr>
        <w:t>a ragione aggiuntiva nel rendere applicabile la disciplina degli abusi di mercato anche in</w:t>
      </w:r>
      <w:r w:rsidR="001562DC">
        <w:rPr>
          <w:rFonts w:cs="Times New Roman"/>
        </w:rPr>
        <w:t xml:space="preserve"> tali Stati membri,</w:t>
      </w:r>
      <w:r w:rsidR="007620CE">
        <w:rPr>
          <w:rFonts w:cs="Times New Roman"/>
        </w:rPr>
        <w:t xml:space="preserve"> seppur in forma amministrativa</w:t>
      </w:r>
      <w:r w:rsidR="006A182B">
        <w:rPr>
          <w:rFonts w:cs="Times New Roman"/>
        </w:rPr>
        <w:t>.</w:t>
      </w:r>
    </w:p>
    <w:p w14:paraId="32597621" w14:textId="02D1AD3B" w:rsidR="00C0586D" w:rsidRDefault="0099040A" w:rsidP="003A63CD">
      <w:pPr>
        <w:spacing w:after="100" w:afterAutospacing="1" w:line="276" w:lineRule="auto"/>
        <w:rPr>
          <w:rFonts w:cs="Times New Roman"/>
        </w:rPr>
      </w:pPr>
      <w:r>
        <w:rPr>
          <w:rFonts w:cs="Times New Roman"/>
        </w:rPr>
        <w:t xml:space="preserve">Sebbene non si presenteranno i problemi di </w:t>
      </w:r>
      <w:r w:rsidRPr="00280859">
        <w:rPr>
          <w:rFonts w:cs="Times New Roman"/>
          <w:i/>
        </w:rPr>
        <w:t>bis in idem</w:t>
      </w:r>
      <w:r>
        <w:rPr>
          <w:rFonts w:cs="Times New Roman"/>
        </w:rPr>
        <w:t xml:space="preserve"> riscontrati per la MAD</w:t>
      </w:r>
      <w:r w:rsidR="00280859">
        <w:rPr>
          <w:rFonts w:cs="Times New Roman"/>
        </w:rPr>
        <w:t xml:space="preserve">, </w:t>
      </w:r>
      <w:r w:rsidR="006A182B">
        <w:rPr>
          <w:rFonts w:cs="Times New Roman"/>
        </w:rPr>
        <w:t>poiché</w:t>
      </w:r>
      <w:r w:rsidR="00280859">
        <w:rPr>
          <w:rFonts w:cs="Times New Roman"/>
        </w:rPr>
        <w:t xml:space="preserve"> il ventitreesimo considerando della MAD2</w:t>
      </w:r>
      <w:r w:rsidR="00280859">
        <w:rPr>
          <w:rStyle w:val="Rimandonotaapidipagina"/>
          <w:rFonts w:cs="Times New Roman"/>
        </w:rPr>
        <w:footnoteReference w:id="142"/>
      </w:r>
      <w:r w:rsidR="00280859">
        <w:rPr>
          <w:rFonts w:cs="Times New Roman"/>
        </w:rPr>
        <w:t xml:space="preserve"> espressamente </w:t>
      </w:r>
      <w:r w:rsidR="006A182B">
        <w:rPr>
          <w:rFonts w:cs="Times New Roman"/>
        </w:rPr>
        <w:t xml:space="preserve">prevede </w:t>
      </w:r>
      <w:r w:rsidR="00280859">
        <w:rPr>
          <w:rFonts w:cs="Times New Roman"/>
        </w:rPr>
        <w:t xml:space="preserve">il rispetto di tale principio nell’irrogazione delle sanzioni, </w:t>
      </w:r>
      <w:r w:rsidR="00E65BF6">
        <w:rPr>
          <w:rFonts w:cs="Times New Roman"/>
        </w:rPr>
        <w:t>la compresenza di sanzioni penali ed amministrative</w:t>
      </w:r>
      <w:r w:rsidR="00280859">
        <w:rPr>
          <w:rFonts w:cs="Times New Roman"/>
        </w:rPr>
        <w:t xml:space="preserve"> riproporrà </w:t>
      </w:r>
      <w:r w:rsidR="00E65BF6">
        <w:rPr>
          <w:rFonts w:cs="Times New Roman"/>
        </w:rPr>
        <w:t>la questione legata</w:t>
      </w:r>
      <w:r w:rsidR="00280859">
        <w:rPr>
          <w:rFonts w:cs="Times New Roman"/>
        </w:rPr>
        <w:t xml:space="preserve"> al coordinamento delle </w:t>
      </w:r>
      <w:r w:rsidR="00E65BF6">
        <w:rPr>
          <w:rFonts w:cs="Times New Roman"/>
        </w:rPr>
        <w:t xml:space="preserve">due </w:t>
      </w:r>
      <w:r w:rsidR="00280859">
        <w:rPr>
          <w:rFonts w:cs="Times New Roman"/>
        </w:rPr>
        <w:t xml:space="preserve">fattispecie, sicuramente non risolvibile seguendo i soli suggerimenti provenienti dalla MAD2. </w:t>
      </w:r>
      <w:r w:rsidR="00E65BF6">
        <w:rPr>
          <w:rFonts w:cs="Times New Roman"/>
        </w:rPr>
        <w:t>Con la differenza che</w:t>
      </w:r>
      <w:r w:rsidR="00D90504">
        <w:rPr>
          <w:rFonts w:cs="Times New Roman"/>
        </w:rPr>
        <w:t>,</w:t>
      </w:r>
      <w:r w:rsidR="00E65BF6">
        <w:rPr>
          <w:rFonts w:cs="Times New Roman"/>
        </w:rPr>
        <w:t xml:space="preserve"> se </w:t>
      </w:r>
      <w:r w:rsidR="006977FF">
        <w:rPr>
          <w:rFonts w:cs="Times New Roman"/>
        </w:rPr>
        <w:t>con la MAD</w:t>
      </w:r>
      <w:r w:rsidR="00E65BF6">
        <w:rPr>
          <w:rFonts w:cs="Times New Roman"/>
        </w:rPr>
        <w:t xml:space="preserve"> l’adozione di sanzioni penali era facoltativa, con la MAD2 sarà obbligatoria</w:t>
      </w:r>
      <w:r w:rsidR="006977FF">
        <w:rPr>
          <w:rFonts w:cs="Times New Roman"/>
        </w:rPr>
        <w:t>: la questione del confine tra i due illeciti diverrà</w:t>
      </w:r>
      <w:r w:rsidR="00D90504">
        <w:rPr>
          <w:rFonts w:cs="Times New Roman"/>
        </w:rPr>
        <w:t xml:space="preserve"> quindi</w:t>
      </w:r>
      <w:r w:rsidR="00E65BF6">
        <w:rPr>
          <w:rFonts w:cs="Times New Roman"/>
        </w:rPr>
        <w:t>, anche formalmente,</w:t>
      </w:r>
      <w:r w:rsidR="006977FF">
        <w:rPr>
          <w:rFonts w:cs="Times New Roman"/>
        </w:rPr>
        <w:t xml:space="preserve"> europea</w:t>
      </w:r>
      <w:r w:rsidR="00E65BF6">
        <w:rPr>
          <w:rFonts w:cs="Times New Roman"/>
        </w:rPr>
        <w:t>.</w:t>
      </w:r>
    </w:p>
    <w:p w14:paraId="55E100D8" w14:textId="77777777" w:rsidR="000129CF" w:rsidRDefault="006977FF" w:rsidP="003A63CD">
      <w:pPr>
        <w:spacing w:after="100" w:afterAutospacing="1" w:line="276" w:lineRule="auto"/>
        <w:rPr>
          <w:rFonts w:cs="Times New Roman"/>
        </w:rPr>
      </w:pPr>
      <w:r>
        <w:rPr>
          <w:rFonts w:cs="Times New Roman"/>
        </w:rPr>
        <w:t>Sembra pertanto che le riflessioni svolte sull</w:t>
      </w:r>
      <w:r w:rsidR="00F41F88">
        <w:rPr>
          <w:rFonts w:cs="Times New Roman"/>
        </w:rPr>
        <w:t>’illecito penale</w:t>
      </w:r>
      <w:r w:rsidR="00D76C87">
        <w:rPr>
          <w:rFonts w:cs="Times New Roman"/>
        </w:rPr>
        <w:t xml:space="preserve"> </w:t>
      </w:r>
      <w:r>
        <w:rPr>
          <w:rFonts w:cs="Times New Roman"/>
        </w:rPr>
        <w:t>possano essere trasposte in ambito europeo. Il reato sarà così ricompreso</w:t>
      </w:r>
      <w:r w:rsidR="00F41F88">
        <w:rPr>
          <w:rFonts w:cs="Times New Roman"/>
        </w:rPr>
        <w:t xml:space="preserve"> </w:t>
      </w:r>
      <w:r>
        <w:rPr>
          <w:rFonts w:cs="Times New Roman"/>
        </w:rPr>
        <w:t>nei confini</w:t>
      </w:r>
      <w:r w:rsidR="00F41F88">
        <w:rPr>
          <w:rFonts w:cs="Times New Roman"/>
        </w:rPr>
        <w:t xml:space="preserve">, positivi, dell’illecito amministrativo, mentre entrambi gli illeciti saranno ancora </w:t>
      </w:r>
      <w:r w:rsidR="00593FB8">
        <w:rPr>
          <w:rFonts w:cs="Times New Roman"/>
        </w:rPr>
        <w:t xml:space="preserve">circoscritti </w:t>
      </w:r>
      <w:r w:rsidR="00D76C87">
        <w:rPr>
          <w:rFonts w:cs="Times New Roman"/>
        </w:rPr>
        <w:t>dal limit</w:t>
      </w:r>
      <w:r w:rsidR="00D76C87" w:rsidRPr="0033334A">
        <w:rPr>
          <w:rFonts w:cs="Times New Roman"/>
        </w:rPr>
        <w:t xml:space="preserve">e negativo delle prassi legittime, </w:t>
      </w:r>
      <w:r w:rsidR="00593FB8" w:rsidRPr="0033334A">
        <w:rPr>
          <w:rFonts w:cs="Times New Roman"/>
        </w:rPr>
        <w:t xml:space="preserve">reintrodotto nella versione finale </w:t>
      </w:r>
      <w:r w:rsidR="001456EB">
        <w:rPr>
          <w:rFonts w:cs="Times New Roman"/>
        </w:rPr>
        <w:t>del MAR e della MAD2</w:t>
      </w:r>
      <w:r w:rsidR="00593FB8" w:rsidRPr="0033334A">
        <w:rPr>
          <w:rFonts w:cs="Times New Roman"/>
        </w:rPr>
        <w:t xml:space="preserve"> dopo </w:t>
      </w:r>
      <w:r w:rsidR="00D76C87" w:rsidRPr="0033334A">
        <w:rPr>
          <w:rFonts w:cs="Times New Roman"/>
        </w:rPr>
        <w:t>che</w:t>
      </w:r>
      <w:r w:rsidR="00D90504">
        <w:rPr>
          <w:rFonts w:cs="Times New Roman"/>
        </w:rPr>
        <w:t>,</w:t>
      </w:r>
      <w:r w:rsidR="00D76C87" w:rsidRPr="0033334A">
        <w:rPr>
          <w:rFonts w:cs="Times New Roman"/>
        </w:rPr>
        <w:t xml:space="preserve"> nella proposta</w:t>
      </w:r>
      <w:r w:rsidR="00593FB8" w:rsidRPr="0033334A">
        <w:rPr>
          <w:rFonts w:cs="Times New Roman"/>
        </w:rPr>
        <w:t xml:space="preserve"> della Commissione</w:t>
      </w:r>
      <w:r w:rsidR="00D90504">
        <w:rPr>
          <w:rFonts w:cs="Times New Roman"/>
        </w:rPr>
        <w:t>,</w:t>
      </w:r>
      <w:r w:rsidR="00D76C87" w:rsidRPr="0033334A">
        <w:rPr>
          <w:rFonts w:cs="Times New Roman"/>
        </w:rPr>
        <w:t xml:space="preserve"> non era stato incluso, perché </w:t>
      </w:r>
      <w:r w:rsidR="00593FB8" w:rsidRPr="0033334A">
        <w:rPr>
          <w:rFonts w:cs="Times New Roman"/>
        </w:rPr>
        <w:t xml:space="preserve">considerato </w:t>
      </w:r>
      <w:r w:rsidR="00D76C87" w:rsidRPr="0033334A">
        <w:rPr>
          <w:rFonts w:cs="Times New Roman"/>
        </w:rPr>
        <w:t>elemento di frammentazione del mercato</w:t>
      </w:r>
      <w:r w:rsidR="00D76C87" w:rsidRPr="0033334A">
        <w:rPr>
          <w:rStyle w:val="Rimandonotaapidipagina"/>
          <w:rFonts w:cs="Times New Roman"/>
        </w:rPr>
        <w:footnoteReference w:id="143"/>
      </w:r>
      <w:r w:rsidR="00F41F88" w:rsidRPr="0033334A">
        <w:rPr>
          <w:rFonts w:cs="Times New Roman"/>
        </w:rPr>
        <w:t>.</w:t>
      </w:r>
      <w:r w:rsidR="00D76C87" w:rsidRPr="0033334A">
        <w:rPr>
          <w:rFonts w:cs="Times New Roman"/>
        </w:rPr>
        <w:t xml:space="preserve"> </w:t>
      </w:r>
    </w:p>
    <w:p w14:paraId="31C45CE3" w14:textId="77777777" w:rsidR="000129CF" w:rsidRDefault="00F41F88" w:rsidP="000129CF">
      <w:pPr>
        <w:spacing w:after="100" w:afterAutospacing="1" w:line="276" w:lineRule="auto"/>
      </w:pPr>
      <w:r w:rsidRPr="0033334A">
        <w:rPr>
          <w:rFonts w:cs="Times New Roman"/>
        </w:rPr>
        <w:t xml:space="preserve">L’ambito ed i criteri di </w:t>
      </w:r>
      <w:r w:rsidR="00140E30">
        <w:rPr>
          <w:rFonts w:cs="Times New Roman"/>
        </w:rPr>
        <w:t>ammissione delle prassi</w:t>
      </w:r>
      <w:r w:rsidRPr="0033334A">
        <w:rPr>
          <w:rFonts w:cs="Times New Roman"/>
        </w:rPr>
        <w:t xml:space="preserve"> sono rimasti gli stessi previsti dalla MAD, mentre è stata resa più stringente la procedura </w:t>
      </w:r>
      <w:r w:rsidR="000129CF">
        <w:rPr>
          <w:rFonts w:cs="Times New Roman"/>
        </w:rPr>
        <w:t>per la loro</w:t>
      </w:r>
      <w:r w:rsidRPr="0033334A">
        <w:rPr>
          <w:rFonts w:cs="Times New Roman"/>
        </w:rPr>
        <w:t xml:space="preserve"> ammissione</w:t>
      </w:r>
      <w:r w:rsidR="000129CF">
        <w:rPr>
          <w:rFonts w:cs="Times New Roman"/>
        </w:rPr>
        <w:t>.</w:t>
      </w:r>
      <w:r w:rsidR="00593FB8" w:rsidRPr="0033334A">
        <w:rPr>
          <w:rFonts w:cs="Times New Roman"/>
        </w:rPr>
        <w:t xml:space="preserve"> </w:t>
      </w:r>
      <w:r w:rsidR="00593FB8" w:rsidRPr="0033334A">
        <w:t>In particolare l’autorità nazionale competente dovrà notificare all’ESMA ed alle altre autorità nazionali l’intenzione di istituire una nuova prassi, corredata dalla valutazione dei relativi rischi. Ad essa seguirà un parere dell’ESMA a cui l’autorità nazionale</w:t>
      </w:r>
      <w:r w:rsidR="0033334A" w:rsidRPr="0033334A">
        <w:t xml:space="preserve"> potrà non conformarsi, ma solo illustrandone integralmente i motivi, tra cui </w:t>
      </w:r>
      <w:r w:rsidR="0033334A" w:rsidRPr="00EE58D0">
        <w:rPr>
          <w:i/>
        </w:rPr>
        <w:t>«</w:t>
      </w:r>
      <w:r w:rsidR="0033334A" w:rsidRPr="00EE58D0">
        <w:rPr>
          <w:i/>
          <w:color w:val="000000"/>
        </w:rPr>
        <w:t>le ragioni per cui la prassi di mercato ammessa non minaccia la fiducia del mercato</w:t>
      </w:r>
      <w:r w:rsidR="0033334A" w:rsidRPr="00EE58D0">
        <w:rPr>
          <w:i/>
        </w:rPr>
        <w:t>»</w:t>
      </w:r>
      <w:r w:rsidR="00EE58D0" w:rsidRPr="00722DEC">
        <w:rPr>
          <w:rStyle w:val="Rimandonotaapidipagina"/>
        </w:rPr>
        <w:footnoteReference w:id="144"/>
      </w:r>
      <w:r w:rsidR="0033334A" w:rsidRPr="00722DEC">
        <w:t>.</w:t>
      </w:r>
      <w:r w:rsidR="00722DEC">
        <w:t xml:space="preserve"> </w:t>
      </w:r>
    </w:p>
    <w:p w14:paraId="38047468" w14:textId="3DCE2FA1" w:rsidR="00D76C87" w:rsidRPr="000129CF" w:rsidRDefault="00722DEC" w:rsidP="000129CF">
      <w:pPr>
        <w:spacing w:after="100" w:afterAutospacing="1" w:line="276" w:lineRule="auto"/>
        <w:rPr>
          <w:rFonts w:cs="Times New Roman"/>
        </w:rPr>
      </w:pPr>
      <w:r>
        <w:t xml:space="preserve">Viene così adottato il modello del </w:t>
      </w:r>
      <w:r w:rsidRPr="00722DEC">
        <w:rPr>
          <w:i/>
        </w:rPr>
        <w:t>comply or explain</w:t>
      </w:r>
      <w:r>
        <w:t>, che si ipotizza possa essere adottato come ulteriore parametro di legitt</w:t>
      </w:r>
      <w:r w:rsidR="000129CF">
        <w:t>imità della prassi così ammessa e che, di conseguenza, stimolerà le autorità nazionali ad una progres</w:t>
      </w:r>
      <w:r w:rsidR="00457CE6">
        <w:t>siva armonizzazione delle prassi ed all’individuazione di criteri comuni per la loro ammissione.</w:t>
      </w:r>
    </w:p>
    <w:p w14:paraId="710D032A" w14:textId="7AEE7996" w:rsidR="00140E30" w:rsidRDefault="00140E30" w:rsidP="00403B13">
      <w:pPr>
        <w:spacing w:after="100" w:afterAutospacing="1" w:line="276" w:lineRule="auto"/>
      </w:pPr>
      <w:r>
        <w:t xml:space="preserve">La MAD2 rappresenta il primo esercizio </w:t>
      </w:r>
      <w:r w:rsidR="00D01593">
        <w:t xml:space="preserve">del potere di imporre </w:t>
      </w:r>
      <w:r>
        <w:t>sanzioni penali da parte dell’Unione europea. Le molte aspettative rimangono però deluse perché</w:t>
      </w:r>
      <w:r w:rsidR="00D01593">
        <w:t>, pur potendo stabilire norme minime rispetto ai reati ed alle sanzioni,</w:t>
      </w:r>
      <w:r>
        <w:t xml:space="preserve"> l’Unione si</w:t>
      </w:r>
      <w:r w:rsidR="00D01593">
        <w:t xml:space="preserve"> è</w:t>
      </w:r>
      <w:r>
        <w:t xml:space="preserve"> limita</w:t>
      </w:r>
      <w:r w:rsidR="00D01593">
        <w:t>ta</w:t>
      </w:r>
      <w:r>
        <w:t xml:space="preserve"> a prevedere un mero obbligo sanzionatorio</w:t>
      </w:r>
      <w:r w:rsidR="00D01593">
        <w:t xml:space="preserve"> e delle sanzioni minime</w:t>
      </w:r>
      <w:r>
        <w:t>,</w:t>
      </w:r>
      <w:r w:rsidR="00D01593">
        <w:t xml:space="preserve"> definendo poi cosa si intende per manipolazione di mercato. </w:t>
      </w:r>
      <w:r w:rsidR="00704C8E">
        <w:t xml:space="preserve">L’assenza </w:t>
      </w:r>
      <w:r w:rsidR="00AC2440">
        <w:t>di norme minime per la definizione del reato</w:t>
      </w:r>
      <w:r>
        <w:t xml:space="preserve"> ripropon</w:t>
      </w:r>
      <w:r w:rsidR="00AC2440">
        <w:t>e</w:t>
      </w:r>
      <w:r w:rsidR="00D01593">
        <w:t xml:space="preserve"> così</w:t>
      </w:r>
      <w:r>
        <w:t xml:space="preserve"> le incertezze</w:t>
      </w:r>
      <w:r w:rsidR="00704C8E">
        <w:t xml:space="preserve"> legate alla determinatezza della fattispecie</w:t>
      </w:r>
      <w:r w:rsidR="00AC2440">
        <w:t>,</w:t>
      </w:r>
      <w:r>
        <w:t xml:space="preserve"> </w:t>
      </w:r>
      <w:r w:rsidR="00AC2440">
        <w:t>che in parte caratterizzano la manipolazione del mercato.</w:t>
      </w:r>
    </w:p>
    <w:p w14:paraId="141EBD1A" w14:textId="5F6ADD51" w:rsidR="004D5336" w:rsidRDefault="00AC2440" w:rsidP="00403B13">
      <w:pPr>
        <w:spacing w:after="100" w:afterAutospacing="1" w:line="276" w:lineRule="auto"/>
      </w:pPr>
      <w:r>
        <w:t>Infatti, in assenza di maggiori indicazioni da parte dell’Unione, gli Stati membri potrebbero essere indotti ad incriminare anche casi di manipolazione non gravi in una</w:t>
      </w:r>
      <w:r w:rsidR="000724C2">
        <w:t xml:space="preserve"> logica precauzionale di prevenire un’infrazione del diritto europeo. Ciò creerà </w:t>
      </w:r>
      <w:r w:rsidR="00484176">
        <w:t>ancora</w:t>
      </w:r>
      <w:r w:rsidR="000724C2">
        <w:t xml:space="preserve"> molte differenze i</w:t>
      </w:r>
      <w:r w:rsidR="00484176">
        <w:t>n</w:t>
      </w:r>
      <w:r w:rsidR="009A46D3">
        <w:t xml:space="preserve"> sede di attuazione della MAD2, con gli Stati membri che posizioneranno la soglia </w:t>
      </w:r>
      <w:r w:rsidR="00665E96">
        <w:t>tra reato e illecito amministrativo a livelli necessariamente differenti</w:t>
      </w:r>
      <w:r w:rsidR="004D5336">
        <w:t>.</w:t>
      </w:r>
    </w:p>
    <w:p w14:paraId="3FEC548B" w14:textId="14936E17" w:rsidR="004D5336" w:rsidRDefault="00665E96" w:rsidP="00403B13">
      <w:pPr>
        <w:spacing w:after="100" w:afterAutospacing="1" w:line="276" w:lineRule="auto"/>
      </w:pPr>
      <w:r>
        <w:t>L’adozione del doppio binario da parte dell’Unione, anche se nel</w:t>
      </w:r>
      <w:r w:rsidR="00080B53">
        <w:t xml:space="preserve"> dichiarato</w:t>
      </w:r>
      <w:r>
        <w:t xml:space="preserve"> rispetto del </w:t>
      </w:r>
      <w:r w:rsidRPr="00080B53">
        <w:rPr>
          <w:i/>
        </w:rPr>
        <w:t>ne bis in idem</w:t>
      </w:r>
      <w:r>
        <w:t>, potrebbe riproporre nell’Unione alcun</w:t>
      </w:r>
      <w:r w:rsidR="00080B53">
        <w:t>i dei problemi di cui si è avuto</w:t>
      </w:r>
      <w:r>
        <w:t xml:space="preserve"> esperienza in Italia. </w:t>
      </w:r>
      <w:r w:rsidR="008673E5">
        <w:t>Qualora gli Stati membri non definiscano a sufficienza la fattispecie penale si riproporrà la necessità di utilizzare ancora le</w:t>
      </w:r>
      <w:r w:rsidR="004D5336">
        <w:t xml:space="preserve"> prassi legittime</w:t>
      </w:r>
      <w:r w:rsidR="008673E5">
        <w:t xml:space="preserve"> come limite negativo</w:t>
      </w:r>
      <w:r w:rsidR="004D5336">
        <w:t xml:space="preserve"> e </w:t>
      </w:r>
      <w:r w:rsidR="008673E5">
        <w:t xml:space="preserve">la </w:t>
      </w:r>
      <w:r w:rsidR="004D5336">
        <w:t>fattispecie amministrativa come limite</w:t>
      </w:r>
      <w:r w:rsidR="008673E5">
        <w:t xml:space="preserve"> positivo del delitto.</w:t>
      </w:r>
    </w:p>
    <w:p w14:paraId="03CF84D7" w14:textId="37CACC1A" w:rsidR="002323E6" w:rsidRDefault="00080B53" w:rsidP="00403B13">
      <w:pPr>
        <w:spacing w:after="100" w:afterAutospacing="1" w:line="276" w:lineRule="auto"/>
        <w:rPr>
          <w:rFonts w:cs="Times New Roman"/>
        </w:rPr>
      </w:pPr>
      <w:r>
        <w:t>P</w:t>
      </w:r>
      <w:r w:rsidR="00825B25" w:rsidRPr="00080B53">
        <w:t>roblemi</w:t>
      </w:r>
      <w:r>
        <w:t xml:space="preserve"> che</w:t>
      </w:r>
      <w:r w:rsidR="00825B25" w:rsidRPr="00080B53">
        <w:t xml:space="preserve"> potrebbero essere risolti</w:t>
      </w:r>
      <w:r>
        <w:t>, in Italia come in Europa,</w:t>
      </w:r>
      <w:r w:rsidR="00825B25" w:rsidRPr="00080B53">
        <w:t xml:space="preserve"> riunendo</w:t>
      </w:r>
      <w:r w:rsidR="00825B25" w:rsidRPr="00080B53">
        <w:rPr>
          <w:rFonts w:cs="Times New Roman"/>
        </w:rPr>
        <w:t xml:space="preserve"> tutte le competenze sanzionatorie in capo al giudice penale, </w:t>
      </w:r>
      <w:r>
        <w:rPr>
          <w:rFonts w:cs="Times New Roman"/>
        </w:rPr>
        <w:t xml:space="preserve">che potrebbe delineare </w:t>
      </w:r>
      <w:r w:rsidR="00136E9B">
        <w:rPr>
          <w:rFonts w:cs="Times New Roman"/>
        </w:rPr>
        <w:t>con sicurezza</w:t>
      </w:r>
      <w:r>
        <w:rPr>
          <w:rFonts w:cs="Times New Roman"/>
        </w:rPr>
        <w:t xml:space="preserve"> gli incerti confini delle due fattispecie </w:t>
      </w:r>
      <w:r w:rsidR="00EB351F">
        <w:rPr>
          <w:rFonts w:cs="Times New Roman"/>
        </w:rPr>
        <w:t>e prevenire la duplicazione di procedimenti prima ancora che di sanzioni.</w:t>
      </w:r>
      <w:r>
        <w:rPr>
          <w:rFonts w:cs="Times New Roman"/>
        </w:rPr>
        <w:t xml:space="preserve"> </w:t>
      </w:r>
      <w:r w:rsidR="002323E6">
        <w:rPr>
          <w:rFonts w:cs="Times New Roman"/>
        </w:rPr>
        <w:t>Si deve</w:t>
      </w:r>
      <w:r w:rsidR="00FE4065">
        <w:rPr>
          <w:rFonts w:cs="Times New Roman"/>
        </w:rPr>
        <w:t>,</w:t>
      </w:r>
      <w:r w:rsidR="002323E6">
        <w:rPr>
          <w:rFonts w:cs="Times New Roman"/>
        </w:rPr>
        <w:t xml:space="preserve"> a tal proposito</w:t>
      </w:r>
      <w:r w:rsidR="00FE4065">
        <w:rPr>
          <w:rFonts w:cs="Times New Roman"/>
        </w:rPr>
        <w:t>,</w:t>
      </w:r>
      <w:r w:rsidR="002323E6">
        <w:rPr>
          <w:rFonts w:cs="Times New Roman"/>
        </w:rPr>
        <w:t xml:space="preserve"> rilevare che una fattispecie dai confini incerti provocherà insicurezza sul mercato e scoraggerà, piuttosto che promuovere, gli investimenti sul mercato mobiliare.</w:t>
      </w:r>
    </w:p>
    <w:p w14:paraId="13483260" w14:textId="7A04DA3B" w:rsidR="00091102" w:rsidRDefault="00E222EB" w:rsidP="00403B13">
      <w:pPr>
        <w:spacing w:after="100" w:afterAutospacing="1" w:line="276" w:lineRule="auto"/>
        <w:rPr>
          <w:rFonts w:cs="Times New Roman"/>
        </w:rPr>
      </w:pPr>
      <w:r>
        <w:rPr>
          <w:rFonts w:cs="Times New Roman"/>
        </w:rPr>
        <w:t>Il coordinamento europeo</w:t>
      </w:r>
      <w:r w:rsidR="00136E9B">
        <w:rPr>
          <w:rFonts w:cs="Times New Roman"/>
        </w:rPr>
        <w:t xml:space="preserve"> tra autorità sanzionatorie e con l’ESMA potrebbe comunque essere </w:t>
      </w:r>
      <w:r>
        <w:rPr>
          <w:rFonts w:cs="Times New Roman"/>
        </w:rPr>
        <w:t>garantito tramite</w:t>
      </w:r>
      <w:r w:rsidR="00136E9B">
        <w:rPr>
          <w:rFonts w:cs="Times New Roman"/>
        </w:rPr>
        <w:t xml:space="preserve"> l’opera di coordinamento di</w:t>
      </w:r>
      <w:r>
        <w:rPr>
          <w:rFonts w:cs="Times New Roman"/>
        </w:rPr>
        <w:t xml:space="preserve"> </w:t>
      </w:r>
      <w:r w:rsidR="00136E9B">
        <w:rPr>
          <w:rFonts w:cs="Times New Roman"/>
        </w:rPr>
        <w:t>E</w:t>
      </w:r>
      <w:r>
        <w:rPr>
          <w:rFonts w:cs="Times New Roman"/>
        </w:rPr>
        <w:t>urojust</w:t>
      </w:r>
      <w:r w:rsidR="00136E9B">
        <w:rPr>
          <w:rFonts w:cs="Times New Roman"/>
        </w:rPr>
        <w:t xml:space="preserve">, </w:t>
      </w:r>
      <w:r w:rsidR="00DE0B2A">
        <w:rPr>
          <w:rFonts w:cs="Times New Roman"/>
        </w:rPr>
        <w:t>che ha il compito di coordinare l’azione delle autorità giudiziarie a livello europeo.</w:t>
      </w:r>
      <w:r w:rsidR="00091102">
        <w:rPr>
          <w:rFonts w:cs="Times New Roman"/>
        </w:rPr>
        <w:t xml:space="preserve"> </w:t>
      </w:r>
      <w:r w:rsidR="00EB351F">
        <w:rPr>
          <w:rFonts w:cs="Times New Roman"/>
        </w:rPr>
        <w:t>In Italia</w:t>
      </w:r>
      <w:r w:rsidR="00091102">
        <w:rPr>
          <w:rFonts w:cs="Times New Roman"/>
        </w:rPr>
        <w:t xml:space="preserve"> il cumulo di competenze in capo al giudice penale</w:t>
      </w:r>
      <w:r w:rsidR="00EB351F">
        <w:rPr>
          <w:rFonts w:cs="Times New Roman"/>
        </w:rPr>
        <w:t xml:space="preserve"> potrebbe avvenire</w:t>
      </w:r>
      <w:r w:rsidR="00FE4065">
        <w:rPr>
          <w:rFonts w:cs="Times New Roman"/>
        </w:rPr>
        <w:t>,</w:t>
      </w:r>
      <w:r w:rsidR="00EB351F">
        <w:rPr>
          <w:rFonts w:cs="Times New Roman"/>
        </w:rPr>
        <w:t xml:space="preserve"> eliminando </w:t>
      </w:r>
      <w:r w:rsidR="00825B25" w:rsidRPr="00080B53">
        <w:rPr>
          <w:rFonts w:cs="Times New Roman"/>
        </w:rPr>
        <w:t xml:space="preserve">l’eccezione all’applicabilità dell’art. 24 della l. 689 del 1981. </w:t>
      </w:r>
    </w:p>
    <w:p w14:paraId="73781251" w14:textId="38A5F54F" w:rsidR="00825B25" w:rsidRPr="00147D02" w:rsidRDefault="00147D02" w:rsidP="00403B13">
      <w:pPr>
        <w:spacing w:after="100" w:afterAutospacing="1" w:line="276" w:lineRule="auto"/>
        <w:rPr>
          <w:rFonts w:cs="Times New Roman"/>
        </w:rPr>
      </w:pPr>
      <w:r>
        <w:rPr>
          <w:rFonts w:cs="Times New Roman"/>
        </w:rPr>
        <w:t>L</w:t>
      </w:r>
      <w:r w:rsidR="00E222EB">
        <w:rPr>
          <w:rFonts w:cs="Times New Roman"/>
        </w:rPr>
        <w:t>e autorità nazionali competenti</w:t>
      </w:r>
      <w:r w:rsidR="00825B25" w:rsidRPr="00080B53">
        <w:rPr>
          <w:rFonts w:cs="Times New Roman"/>
        </w:rPr>
        <w:t xml:space="preserve"> potrebbe</w:t>
      </w:r>
      <w:r w:rsidR="00E222EB">
        <w:rPr>
          <w:rFonts w:cs="Times New Roman"/>
        </w:rPr>
        <w:t>ro</w:t>
      </w:r>
      <w:r w:rsidR="00825B25" w:rsidRPr="00080B53">
        <w:rPr>
          <w:rFonts w:cs="Times New Roman"/>
        </w:rPr>
        <w:t xml:space="preserve"> aumentare il</w:t>
      </w:r>
      <w:r w:rsidR="00E222EB">
        <w:rPr>
          <w:rFonts w:cs="Times New Roman"/>
        </w:rPr>
        <w:t xml:space="preserve"> livello dei</w:t>
      </w:r>
      <w:r w:rsidR="00825B25" w:rsidRPr="00080B53">
        <w:rPr>
          <w:rFonts w:cs="Times New Roman"/>
        </w:rPr>
        <w:t xml:space="preserve"> controll</w:t>
      </w:r>
      <w:r w:rsidR="00E222EB">
        <w:rPr>
          <w:rFonts w:cs="Times New Roman"/>
        </w:rPr>
        <w:t>i</w:t>
      </w:r>
      <w:r w:rsidR="00825B25" w:rsidRPr="00080B53">
        <w:rPr>
          <w:rFonts w:cs="Times New Roman"/>
        </w:rPr>
        <w:t xml:space="preserve"> preventiv</w:t>
      </w:r>
      <w:r w:rsidR="00E222EB">
        <w:rPr>
          <w:rFonts w:cs="Times New Roman"/>
        </w:rPr>
        <w:t>i</w:t>
      </w:r>
      <w:r w:rsidR="00825B25" w:rsidRPr="00080B53">
        <w:rPr>
          <w:rFonts w:cs="Times New Roman"/>
        </w:rPr>
        <w:t xml:space="preserve"> sulla commissione degli illeciti, attraverso l’adozione di misure quali, ad esempio, richiami, ammonizioni, blocco di operazioni sospette</w:t>
      </w:r>
      <w:r w:rsidR="001B118C">
        <w:rPr>
          <w:rStyle w:val="Rimandonotaapidipagina"/>
          <w:rFonts w:cs="Times New Roman"/>
        </w:rPr>
        <w:footnoteReference w:id="145"/>
      </w:r>
      <w:r w:rsidR="00825B25" w:rsidRPr="00080B53">
        <w:rPr>
          <w:rFonts w:cs="Times New Roman"/>
        </w:rPr>
        <w:t>.</w:t>
      </w:r>
      <w:r w:rsidR="00825B25">
        <w:rPr>
          <w:rFonts w:cs="Times New Roman"/>
        </w:rPr>
        <w:t xml:space="preserve"> </w:t>
      </w:r>
      <w:r w:rsidRPr="00080B53">
        <w:rPr>
          <w:rFonts w:cs="Times New Roman"/>
        </w:rPr>
        <w:t xml:space="preserve">Sempre in un’ottica </w:t>
      </w:r>
      <w:r w:rsidRPr="00080B53">
        <w:rPr>
          <w:rFonts w:cs="Times New Roman"/>
          <w:i/>
        </w:rPr>
        <w:t>de iure condendo</w:t>
      </w:r>
      <w:r>
        <w:rPr>
          <w:rFonts w:cs="Times New Roman"/>
        </w:rPr>
        <w:t>, è auspicabile che anche l’ESMA acquisti progressivamente poteri di vigilanza e sanzionatori</w:t>
      </w:r>
      <w:r>
        <w:rPr>
          <w:rStyle w:val="Rimandonotaapidipagina"/>
          <w:rFonts w:cs="Times New Roman"/>
        </w:rPr>
        <w:footnoteReference w:id="146"/>
      </w:r>
      <w:r>
        <w:rPr>
          <w:rFonts w:cs="Times New Roman"/>
        </w:rPr>
        <w:t>.</w:t>
      </w:r>
    </w:p>
    <w:p w14:paraId="551B1AD5" w14:textId="7439D46E" w:rsidR="00252CA5" w:rsidRPr="00140E30" w:rsidRDefault="00091102" w:rsidP="00403B13">
      <w:pPr>
        <w:spacing w:after="100" w:afterAutospacing="1" w:line="276" w:lineRule="auto"/>
      </w:pPr>
      <w:r>
        <w:t xml:space="preserve">I rilievi mossi alla MAD2 e al MAR </w:t>
      </w:r>
      <w:r w:rsidR="005F2302">
        <w:t>sconfessa</w:t>
      </w:r>
      <w:r>
        <w:t>no</w:t>
      </w:r>
      <w:r w:rsidR="005F2302">
        <w:t xml:space="preserve"> l’intenzione di far convergere le tutele dei mercati europei verso un modello comune. Infatti</w:t>
      </w:r>
      <w:r>
        <w:t>,</w:t>
      </w:r>
      <w:r w:rsidR="005F2302">
        <w:t xml:space="preserve"> la strada </w:t>
      </w:r>
      <w:r w:rsidR="00484176">
        <w:t xml:space="preserve">nella direzione della creazione di un unico “luogo giuridico”, quale dovrebbe essere il mercato finanziario europeo, </w:t>
      </w:r>
      <w:r w:rsidR="005F2302">
        <w:t>passa necessariamente per una comune tutela contro gli abusi di mercato. Il passo</w:t>
      </w:r>
      <w:r w:rsidR="009A46D3">
        <w:t xml:space="preserve"> della MAD2 e del MAR</w:t>
      </w:r>
      <w:r w:rsidR="005F2302">
        <w:t xml:space="preserve"> sembra</w:t>
      </w:r>
      <w:r w:rsidR="009A46D3">
        <w:t xml:space="preserve"> </w:t>
      </w:r>
      <w:r>
        <w:t xml:space="preserve">quindi </w:t>
      </w:r>
      <w:r w:rsidR="00484176">
        <w:t>troppo timido</w:t>
      </w:r>
      <w:r w:rsidR="005F2302">
        <w:t xml:space="preserve"> ed incerto</w:t>
      </w:r>
      <w:r w:rsidR="00484176">
        <w:t xml:space="preserve">, con forti risvolti negativi in termini di </w:t>
      </w:r>
      <w:r w:rsidR="008673E5">
        <w:t xml:space="preserve">mancata </w:t>
      </w:r>
      <w:r w:rsidR="00484176">
        <w:t xml:space="preserve">crescita economica ed occupazionale </w:t>
      </w:r>
      <w:r w:rsidR="008673E5">
        <w:t>in E</w:t>
      </w:r>
      <w:r w:rsidR="00484176">
        <w:t>u</w:t>
      </w:r>
      <w:r w:rsidR="008673E5">
        <w:t>rop</w:t>
      </w:r>
      <w:r w:rsidR="00484176">
        <w:t>a.</w:t>
      </w:r>
    </w:p>
    <w:sectPr w:rsidR="00252CA5" w:rsidRPr="00140E30" w:rsidSect="00765103">
      <w:footerReference w:type="default" r:id="rId11"/>
      <w:endnotePr>
        <w:numFmt w:val="decimal"/>
      </w:endnotePr>
      <w:pgSz w:w="11900" w:h="16840"/>
      <w:pgMar w:top="1418" w:right="1701" w:bottom="1134" w:left="1701" w:header="709" w:footer="709" w:gutter="0"/>
      <w:pgNumType w:start="1"/>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DEBAE" w14:textId="77777777" w:rsidR="00A71CC7" w:rsidRDefault="00A71CC7" w:rsidP="00AA4182">
      <w:r>
        <w:separator/>
      </w:r>
    </w:p>
  </w:endnote>
  <w:endnote w:type="continuationSeparator" w:id="0">
    <w:p w14:paraId="3C80A1B0" w14:textId="77777777" w:rsidR="00A71CC7" w:rsidRDefault="00A71CC7" w:rsidP="00AA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EUAlbertina">
    <w:altName w:val="Cambria"/>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E635F" w14:textId="77777777" w:rsidR="00A71CC7" w:rsidRDefault="00A71CC7" w:rsidP="00600F4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14:paraId="6DAE8E1A" w14:textId="77777777" w:rsidR="00A71CC7" w:rsidRDefault="00A71CC7">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23E09" w14:textId="7792ADDB" w:rsidR="00A71CC7" w:rsidRDefault="00A71CC7" w:rsidP="00600F45">
    <w:pPr>
      <w:pStyle w:val="Pidipagina"/>
      <w:framePr w:wrap="around" w:vAnchor="text" w:hAnchor="margin" w:xAlign="center" w:y="1"/>
      <w:rPr>
        <w:rStyle w:val="Numeropagina"/>
      </w:rPr>
    </w:pPr>
    <w:r>
      <w:rPr>
        <w:rStyle w:val="Numeropagina"/>
      </w:rPr>
      <w:fldChar w:fldCharType="begin"/>
    </w:r>
    <w:r>
      <w:rPr>
        <w:rStyle w:val="Numeropagina"/>
      </w:rPr>
      <w:instrText>PAGE</w:instrText>
    </w:r>
    <w:r>
      <w:rPr>
        <w:rStyle w:val="Numeropagina"/>
      </w:rPr>
      <w:fldChar w:fldCharType="separate"/>
    </w:r>
    <w:r w:rsidR="00FA2D58">
      <w:rPr>
        <w:rStyle w:val="Numeropagina"/>
        <w:noProof/>
      </w:rPr>
      <w:t>I</w:t>
    </w:r>
    <w:r>
      <w:rPr>
        <w:rStyle w:val="Numeropagina"/>
      </w:rPr>
      <w:fldChar w:fldCharType="end"/>
    </w:r>
  </w:p>
  <w:p w14:paraId="20BC0B82" w14:textId="77777777" w:rsidR="00A71CC7" w:rsidRDefault="00A71CC7">
    <w:pPr>
      <w:pStyle w:val="Pidipa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0B678" w14:textId="77777777" w:rsidR="00A71CC7" w:rsidRDefault="00A71CC7" w:rsidP="00600F45">
    <w:pPr>
      <w:pStyle w:val="Pidipagina"/>
      <w:framePr w:wrap="around" w:vAnchor="text" w:hAnchor="margin" w:xAlign="center" w:y="1"/>
      <w:rPr>
        <w:rStyle w:val="Numeropagina"/>
      </w:rPr>
    </w:pPr>
    <w:r>
      <w:rPr>
        <w:rStyle w:val="Numeropagina"/>
      </w:rPr>
      <w:fldChar w:fldCharType="begin"/>
    </w:r>
    <w:r>
      <w:rPr>
        <w:rStyle w:val="Numeropagina"/>
      </w:rPr>
      <w:instrText>PAGE</w:instrText>
    </w:r>
    <w:r>
      <w:rPr>
        <w:rStyle w:val="Numeropagina"/>
      </w:rPr>
      <w:fldChar w:fldCharType="separate"/>
    </w:r>
    <w:r w:rsidR="00FA2D58">
      <w:rPr>
        <w:rStyle w:val="Numeropagina"/>
        <w:noProof/>
      </w:rPr>
      <w:t>36</w:t>
    </w:r>
    <w:r>
      <w:rPr>
        <w:rStyle w:val="Numeropagina"/>
      </w:rPr>
      <w:fldChar w:fldCharType="end"/>
    </w:r>
  </w:p>
  <w:p w14:paraId="59C4ED10" w14:textId="77777777" w:rsidR="00A71CC7" w:rsidRPr="005F57A2" w:rsidRDefault="00A71CC7">
    <w:pPr>
      <w:pStyle w:val="Pidipagina"/>
      <w:rPr>
        <w:rStyle w:val="Enfasidelicat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C194B" w14:textId="77777777" w:rsidR="00A71CC7" w:rsidRDefault="00A71CC7" w:rsidP="00AA4182">
      <w:r>
        <w:separator/>
      </w:r>
    </w:p>
  </w:footnote>
  <w:footnote w:type="continuationSeparator" w:id="0">
    <w:p w14:paraId="59A2D756" w14:textId="77777777" w:rsidR="00A71CC7" w:rsidRDefault="00A71CC7" w:rsidP="00AA4182">
      <w:r>
        <w:continuationSeparator/>
      </w:r>
    </w:p>
  </w:footnote>
  <w:footnote w:id="1">
    <w:p w14:paraId="0EF4C3A2" w14:textId="77777777" w:rsidR="00A71CC7" w:rsidRPr="00D51F67" w:rsidRDefault="00A71CC7" w:rsidP="003A63CD">
      <w:pPr>
        <w:pStyle w:val="Testonotaapidipagina"/>
        <w:ind w:firstLine="454"/>
        <w:jc w:val="left"/>
      </w:pPr>
      <w:r w:rsidRPr="00D51F67">
        <w:rPr>
          <w:rStyle w:val="Rimandonotaapidipagina"/>
        </w:rPr>
        <w:footnoteRef/>
      </w:r>
      <w:r w:rsidRPr="00D51F67">
        <w:t xml:space="preserve"> </w:t>
      </w:r>
      <w:r w:rsidRPr="00D51F67">
        <w:rPr>
          <w:smallCaps/>
        </w:rPr>
        <w:t>Paliero</w:t>
      </w:r>
      <w:r w:rsidRPr="00D51F67">
        <w:t xml:space="preserve">, </w:t>
      </w:r>
      <w:r w:rsidRPr="00D51F67">
        <w:rPr>
          <w:i/>
        </w:rPr>
        <w:t>Nuove prospettive degli abusi di mercato?</w:t>
      </w:r>
      <w:r w:rsidRPr="00D51F67">
        <w:t xml:space="preserve">, </w:t>
      </w:r>
      <w:r w:rsidRPr="00D51F67">
        <w:rPr>
          <w:rFonts w:eastAsia="Times New Roman"/>
        </w:rPr>
        <w:t xml:space="preserve">in </w:t>
      </w:r>
      <w:r w:rsidRPr="00D51F67">
        <w:rPr>
          <w:rFonts w:eastAsia="Times New Roman"/>
          <w:smallCaps/>
        </w:rPr>
        <w:t>Centro Nazionale di Prevenzione e Difesa Sociale</w:t>
      </w:r>
      <w:r w:rsidRPr="00D51F67">
        <w:rPr>
          <w:rFonts w:eastAsia="Times New Roman"/>
        </w:rPr>
        <w:t xml:space="preserve"> (a cura di), </w:t>
      </w:r>
      <w:r w:rsidRPr="00D51F67">
        <w:rPr>
          <w:rFonts w:eastAsia="Times New Roman"/>
          <w:i/>
        </w:rPr>
        <w:t>La crisi finanziaria: banche, regolatori, sanzioni</w:t>
      </w:r>
      <w:r w:rsidRPr="00D51F67">
        <w:rPr>
          <w:rFonts w:eastAsia="Times New Roman"/>
        </w:rPr>
        <w:t>, cit., 70.</w:t>
      </w:r>
    </w:p>
  </w:footnote>
  <w:footnote w:id="2">
    <w:p w14:paraId="51CA94BC" w14:textId="7E6547FC" w:rsidR="00A71CC7" w:rsidRPr="00D51F67" w:rsidRDefault="00A71CC7" w:rsidP="003A63CD">
      <w:pPr>
        <w:pStyle w:val="Testonotaapidipagina"/>
        <w:ind w:firstLine="454"/>
        <w:jc w:val="left"/>
      </w:pPr>
      <w:r w:rsidRPr="00D51F67">
        <w:rPr>
          <w:rStyle w:val="Rimandonotaapidipagina"/>
        </w:rPr>
        <w:footnoteRef/>
      </w:r>
      <w:r w:rsidRPr="00D51F67">
        <w:t xml:space="preserve"> Per una disamina esaustiva sulle conseguenze dell’ammissione delle prassi in relazione alle loro diverse qualificazioni giuridiche vedi </w:t>
      </w:r>
      <w:r w:rsidRPr="00D51F67">
        <w:rPr>
          <w:smallCaps/>
        </w:rPr>
        <w:t>Amati</w:t>
      </w:r>
      <w:r w:rsidRPr="00D51F67">
        <w:t xml:space="preserve">, </w:t>
      </w:r>
      <w:r w:rsidRPr="00D51F67">
        <w:rPr>
          <w:i/>
        </w:rPr>
        <w:t>Abusi di mercato e sistema penale</w:t>
      </w:r>
      <w:r w:rsidRPr="00D51F67">
        <w:t>, cit., 330.</w:t>
      </w:r>
    </w:p>
  </w:footnote>
  <w:footnote w:id="3">
    <w:p w14:paraId="621D1A5B" w14:textId="403689EE" w:rsidR="00A71CC7" w:rsidRPr="00D51F67" w:rsidRDefault="00A71CC7" w:rsidP="003A63CD">
      <w:pPr>
        <w:pStyle w:val="Testonotaapidipagina"/>
        <w:ind w:firstLine="454"/>
        <w:jc w:val="left"/>
      </w:pPr>
      <w:r w:rsidRPr="00D51F67">
        <w:rPr>
          <w:rStyle w:val="Rimandonotaapidipagina"/>
        </w:rPr>
        <w:footnoteRef/>
      </w:r>
      <w:r w:rsidRPr="00D51F67">
        <w:t xml:space="preserve"> </w:t>
      </w:r>
      <w:r w:rsidRPr="00D51F67">
        <w:rPr>
          <w:smallCaps/>
        </w:rPr>
        <w:t>Lunghini</w:t>
      </w:r>
      <w:r w:rsidRPr="00D51F67">
        <w:t>,</w:t>
      </w:r>
      <w:r w:rsidRPr="00D51F67">
        <w:rPr>
          <w:i/>
          <w:iCs/>
        </w:rPr>
        <w:t xml:space="preserve"> Manipolazione del mercato</w:t>
      </w:r>
      <w:r w:rsidRPr="00D51F67">
        <w:rPr>
          <w:iCs/>
        </w:rPr>
        <w:t>, cit., 1478</w:t>
      </w:r>
      <w:r w:rsidRPr="00D51F67">
        <w:rPr>
          <w:i/>
          <w:iCs/>
        </w:rPr>
        <w:t>.</w:t>
      </w:r>
    </w:p>
  </w:footnote>
  <w:footnote w:id="4">
    <w:p w14:paraId="2C0CCDD2" w14:textId="7654C63F"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Paliero</w:t>
      </w:r>
      <w:r w:rsidRPr="00D51F67">
        <w:t xml:space="preserve">, </w:t>
      </w:r>
      <w:r w:rsidRPr="00D51F67">
        <w:rPr>
          <w:i/>
        </w:rPr>
        <w:t>Nuove prospettive degli abusi di mercato?</w:t>
      </w:r>
      <w:r w:rsidRPr="00D51F67">
        <w:t xml:space="preserve">, </w:t>
      </w:r>
      <w:r w:rsidRPr="00D51F67">
        <w:rPr>
          <w:rFonts w:eastAsia="Times New Roman"/>
        </w:rPr>
        <w:t xml:space="preserve">in </w:t>
      </w:r>
      <w:r w:rsidRPr="00D51F67">
        <w:rPr>
          <w:rFonts w:eastAsia="Times New Roman"/>
          <w:smallCaps/>
        </w:rPr>
        <w:t>Centro Nazionale di Prevenzione e Difesa Sociale</w:t>
      </w:r>
      <w:r w:rsidRPr="00D51F67">
        <w:rPr>
          <w:rFonts w:eastAsia="Times New Roman"/>
        </w:rPr>
        <w:t xml:space="preserve"> (a cura di), </w:t>
      </w:r>
      <w:r w:rsidRPr="00D51F67">
        <w:rPr>
          <w:rFonts w:eastAsia="Times New Roman"/>
          <w:i/>
        </w:rPr>
        <w:t>La crisi finanziaria: banche, regolatori, sanzioni</w:t>
      </w:r>
      <w:r w:rsidRPr="00D51F67">
        <w:rPr>
          <w:rFonts w:eastAsia="Times New Roman"/>
        </w:rPr>
        <w:t>, cit., 70.</w:t>
      </w:r>
    </w:p>
  </w:footnote>
  <w:footnote w:id="5">
    <w:p w14:paraId="14A5B8DC" w14:textId="1946130E"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Magro</w:t>
      </w:r>
      <w:r w:rsidRPr="00D51F67">
        <w:t xml:space="preserve">, </w:t>
      </w:r>
      <w:r w:rsidRPr="00D51F67">
        <w:rPr>
          <w:i/>
        </w:rPr>
        <w:t>Manipolazioni dei mercati finanziari e diritto penale</w:t>
      </w:r>
      <w:r w:rsidRPr="00D51F67">
        <w:t>, Milano, 2012, 321 e s.</w:t>
      </w:r>
    </w:p>
  </w:footnote>
  <w:footnote w:id="6">
    <w:p w14:paraId="2F6BFF24" w14:textId="5D775B72"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Rondinelli</w:t>
      </w:r>
      <w:r w:rsidRPr="00D51F67">
        <w:t xml:space="preserve">, </w:t>
      </w:r>
      <w:r w:rsidRPr="00D51F67">
        <w:rPr>
          <w:i/>
        </w:rPr>
        <w:t>Art. 180 T.U.F.</w:t>
      </w:r>
      <w:r w:rsidRPr="00D51F67">
        <w:t xml:space="preserve">, in </w:t>
      </w:r>
      <w:r w:rsidRPr="00D51F67">
        <w:rPr>
          <w:smallCaps/>
        </w:rPr>
        <w:t>Pederzini</w:t>
      </w:r>
      <w:r w:rsidRPr="00D51F67">
        <w:t xml:space="preserve"> (a cura di), </w:t>
      </w:r>
      <w:r w:rsidRPr="00D51F67">
        <w:rPr>
          <w:i/>
        </w:rPr>
        <w:t>Commentario sistematico della l. 18 aprile 2005, n. 62</w:t>
      </w:r>
      <w:r w:rsidRPr="00D51F67">
        <w:t>, cit., 1016.</w:t>
      </w:r>
    </w:p>
  </w:footnote>
  <w:footnote w:id="7">
    <w:p w14:paraId="599D59AE" w14:textId="7A8BCC5E" w:rsidR="00A71CC7" w:rsidRPr="00D51F67" w:rsidRDefault="00A71CC7" w:rsidP="0002344A">
      <w:pPr>
        <w:pStyle w:val="Testonotaapidipagina"/>
        <w:ind w:firstLine="454"/>
      </w:pPr>
      <w:r w:rsidRPr="00D51F67">
        <w:rPr>
          <w:rStyle w:val="Rimandonotaapidipagina"/>
        </w:rPr>
        <w:footnoteRef/>
      </w:r>
      <w:r w:rsidRPr="00D51F67">
        <w:t xml:space="preserve"> Cfr. </w:t>
      </w:r>
      <w:r w:rsidRPr="00D51F67">
        <w:rPr>
          <w:smallCaps/>
        </w:rPr>
        <w:t>Preziosi</w:t>
      </w:r>
      <w:r w:rsidRPr="00D51F67">
        <w:t xml:space="preserve">, </w:t>
      </w:r>
      <w:r w:rsidRPr="00D51F67">
        <w:rPr>
          <w:i/>
        </w:rPr>
        <w:t>La manipolazione di mercato nella cornice dell’ordinamento comunitario e del diritto penale italiano</w:t>
      </w:r>
      <w:r w:rsidRPr="00D51F67">
        <w:t>, cit., 121 e s.</w:t>
      </w:r>
    </w:p>
  </w:footnote>
  <w:footnote w:id="8">
    <w:p w14:paraId="1A6CBC2A" w14:textId="509B385F"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Consulich</w:t>
      </w:r>
      <w:r w:rsidRPr="00D51F67">
        <w:t xml:space="preserve">, </w:t>
      </w:r>
      <w:r w:rsidRPr="00D51F67">
        <w:rPr>
          <w:i/>
        </w:rPr>
        <w:t>La giustizia e il mercato. Miti e realtà della tutela penale dell’investimento mobiliare</w:t>
      </w:r>
      <w:r w:rsidRPr="00D51F67">
        <w:t>, cit., 223.</w:t>
      </w:r>
    </w:p>
  </w:footnote>
  <w:footnote w:id="9">
    <w:p w14:paraId="18F0B9B4" w14:textId="0AEB401B" w:rsidR="00A71CC7" w:rsidRPr="00D51F67" w:rsidRDefault="00A71CC7" w:rsidP="0002344A">
      <w:pPr>
        <w:pStyle w:val="Testonotaapidipagina"/>
        <w:ind w:firstLine="454"/>
      </w:pPr>
      <w:r w:rsidRPr="00D51F67">
        <w:rPr>
          <w:rStyle w:val="Rimandonotaapidipagina"/>
        </w:rPr>
        <w:footnoteRef/>
      </w:r>
      <w:r w:rsidRPr="00D51F67">
        <w:t xml:space="preserve"> Cfr. </w:t>
      </w:r>
      <w:r w:rsidRPr="00D51F67">
        <w:rPr>
          <w:i/>
        </w:rPr>
        <w:t>supra</w:t>
      </w:r>
      <w:r w:rsidRPr="00D51F67">
        <w:t>.</w:t>
      </w:r>
    </w:p>
  </w:footnote>
  <w:footnote w:id="10">
    <w:p w14:paraId="70363BF8" w14:textId="47DBC309" w:rsidR="00A71CC7" w:rsidRPr="00D51F67" w:rsidRDefault="00A71CC7" w:rsidP="0002344A">
      <w:pPr>
        <w:pStyle w:val="Testonotaapidipagina"/>
        <w:ind w:firstLine="454"/>
      </w:pPr>
      <w:r w:rsidRPr="00D51F67">
        <w:rPr>
          <w:rStyle w:val="Rimandonotaapidipagina"/>
        </w:rPr>
        <w:footnoteRef/>
      </w:r>
      <w:r w:rsidRPr="00D51F67">
        <w:t xml:space="preserve"> Cfr. Cass. pen., sez. VI, 16 marzo 2006, n. 15199, Labella, cit., 59. Nello stesso senso anche </w:t>
      </w:r>
      <w:r w:rsidRPr="00D51F67">
        <w:rPr>
          <w:smallCaps/>
        </w:rPr>
        <w:t>Fondaroli</w:t>
      </w:r>
      <w:r w:rsidRPr="00D51F67">
        <w:t xml:space="preserve">, </w:t>
      </w:r>
      <w:r w:rsidRPr="00D51F67">
        <w:rPr>
          <w:i/>
        </w:rPr>
        <w:t>L’illecito amministrativo di manipolazione del mercato</w:t>
      </w:r>
      <w:r w:rsidRPr="00D51F67">
        <w:t xml:space="preserve">, in </w:t>
      </w:r>
      <w:r w:rsidRPr="00D51F67">
        <w:rPr>
          <w:smallCaps/>
        </w:rPr>
        <w:t xml:space="preserve">Sgubbi–Fondaroli–Tripodi </w:t>
      </w:r>
      <w:r w:rsidRPr="00D51F67">
        <w:t xml:space="preserve">(a cura di), </w:t>
      </w:r>
      <w:r w:rsidRPr="00D51F67">
        <w:rPr>
          <w:i/>
        </w:rPr>
        <w:t>Diritto penale del mercato finanziario</w:t>
      </w:r>
      <w:r w:rsidRPr="00D51F67">
        <w:t>, cit., 150 e s.</w:t>
      </w:r>
    </w:p>
  </w:footnote>
  <w:footnote w:id="11">
    <w:p w14:paraId="7B905BD3" w14:textId="295E403A"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Fondaroli</w:t>
      </w:r>
      <w:r w:rsidRPr="00D51F67">
        <w:t xml:space="preserve">, </w:t>
      </w:r>
      <w:r w:rsidRPr="00D51F67">
        <w:rPr>
          <w:i/>
        </w:rPr>
        <w:t>L’illecito amministrativo di manipolazione del mercato</w:t>
      </w:r>
      <w:r w:rsidRPr="00D51F67">
        <w:t xml:space="preserve">, in </w:t>
      </w:r>
      <w:r w:rsidRPr="00D51F67">
        <w:rPr>
          <w:smallCaps/>
        </w:rPr>
        <w:t xml:space="preserve">Sgubbi–Fondaroli–Tripodi </w:t>
      </w:r>
      <w:r w:rsidRPr="00D51F67">
        <w:t xml:space="preserve">(a cura di), </w:t>
      </w:r>
      <w:r w:rsidRPr="00D51F67">
        <w:rPr>
          <w:i/>
        </w:rPr>
        <w:t>Diritto penale del mercato finanziario</w:t>
      </w:r>
      <w:r w:rsidRPr="00D51F67">
        <w:t>, cit., 151.</w:t>
      </w:r>
    </w:p>
  </w:footnote>
  <w:footnote w:id="12">
    <w:p w14:paraId="4C77EC54" w14:textId="7373A5D4" w:rsidR="00A71CC7" w:rsidRPr="00D51F67" w:rsidRDefault="00A71CC7" w:rsidP="0002344A">
      <w:pPr>
        <w:pStyle w:val="Testonotaapidipagina"/>
        <w:ind w:firstLine="454"/>
      </w:pPr>
      <w:r w:rsidRPr="00D51F67">
        <w:rPr>
          <w:rStyle w:val="Rimandonotaapidipagina"/>
        </w:rPr>
        <w:footnoteRef/>
      </w:r>
      <w:r w:rsidRPr="00D51F67">
        <w:t xml:space="preserve"> Le prassi legittime non sono </w:t>
      </w:r>
      <w:r w:rsidRPr="00D51F67">
        <w:rPr>
          <w:i/>
        </w:rPr>
        <w:t>soft law</w:t>
      </w:r>
      <w:r w:rsidRPr="00D51F67">
        <w:t xml:space="preserve"> ma provvedimenti dell’autorità di settore, quindi l’argomento acquisirà una valenza ancora più forte.</w:t>
      </w:r>
    </w:p>
  </w:footnote>
  <w:footnote w:id="13">
    <w:p w14:paraId="4B4B4081" w14:textId="25F7550B"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Nieto Martìn</w:t>
      </w:r>
      <w:r w:rsidRPr="00D51F67">
        <w:t xml:space="preserve">, </w:t>
      </w:r>
      <w:r w:rsidRPr="00D51F67">
        <w:rPr>
          <w:i/>
        </w:rPr>
        <w:t>Abusi di mercato: un nuovo paradigma del diritto penale economico europeo</w:t>
      </w:r>
      <w:r w:rsidRPr="00D51F67">
        <w:t xml:space="preserve">, </w:t>
      </w:r>
      <w:r w:rsidRPr="00D51F67">
        <w:rPr>
          <w:rFonts w:eastAsia="Times New Roman"/>
        </w:rPr>
        <w:t xml:space="preserve">in </w:t>
      </w:r>
      <w:r w:rsidRPr="00D51F67">
        <w:rPr>
          <w:rFonts w:eastAsia="Times New Roman"/>
          <w:smallCaps/>
        </w:rPr>
        <w:t>Centro Nazionale di Prevenzione e Difesa Sociale</w:t>
      </w:r>
      <w:r w:rsidRPr="00D51F67">
        <w:rPr>
          <w:rFonts w:eastAsia="Times New Roman"/>
        </w:rPr>
        <w:t xml:space="preserve"> (a cura di), </w:t>
      </w:r>
      <w:r w:rsidRPr="00D51F67">
        <w:rPr>
          <w:rFonts w:eastAsia="Times New Roman"/>
          <w:i/>
        </w:rPr>
        <w:t>La crisi finanziaria: banche, regolatori, sanzioni</w:t>
      </w:r>
      <w:r w:rsidRPr="00D51F67">
        <w:rPr>
          <w:rFonts w:eastAsia="Times New Roman"/>
        </w:rPr>
        <w:t>, cit., 99.</w:t>
      </w:r>
    </w:p>
  </w:footnote>
  <w:footnote w:id="14">
    <w:p w14:paraId="403E4891" w14:textId="71285731"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Masucci</w:t>
      </w:r>
      <w:r w:rsidRPr="00D51F67">
        <w:t xml:space="preserve">, </w:t>
      </w:r>
      <w:r w:rsidRPr="00D51F67">
        <w:rPr>
          <w:i/>
        </w:rPr>
        <w:t>Abusi di mercato</w:t>
      </w:r>
      <w:r w:rsidRPr="00D51F67">
        <w:t xml:space="preserve">, in </w:t>
      </w:r>
      <w:r w:rsidRPr="00D51F67">
        <w:rPr>
          <w:smallCaps/>
        </w:rPr>
        <w:t>Fiorella</w:t>
      </w:r>
      <w:r w:rsidRPr="00D51F67">
        <w:t xml:space="preserve">, </w:t>
      </w:r>
      <w:r w:rsidRPr="00D51F67">
        <w:rPr>
          <w:i/>
        </w:rPr>
        <w:t>Questioni fondamentali della parte speciale del diritto penale</w:t>
      </w:r>
      <w:r w:rsidRPr="00D51F67">
        <w:t>, cit., 273.</w:t>
      </w:r>
    </w:p>
  </w:footnote>
  <w:footnote w:id="15">
    <w:p w14:paraId="3ED092E5" w14:textId="089778FE"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D’Alessandro</w:t>
      </w:r>
      <w:r w:rsidRPr="00D51F67">
        <w:t xml:space="preserve">, </w:t>
      </w:r>
      <w:r w:rsidRPr="00D51F67">
        <w:rPr>
          <w:i/>
        </w:rPr>
        <w:t>L’aggiotaggio e la manipolazione di mercato</w:t>
      </w:r>
      <w:r w:rsidRPr="00D51F67">
        <w:t xml:space="preserve">, in </w:t>
      </w:r>
      <w:r w:rsidRPr="00D51F67">
        <w:rPr>
          <w:smallCaps/>
        </w:rPr>
        <w:t>Canzio-Cerqua-Lupária</w:t>
      </w:r>
      <w:r w:rsidRPr="00D51F67">
        <w:t xml:space="preserve"> (a cura di), </w:t>
      </w:r>
      <w:r w:rsidRPr="00D51F67">
        <w:rPr>
          <w:i/>
        </w:rPr>
        <w:t>Diritto penale delle società – Tomo primo</w:t>
      </w:r>
      <w:r w:rsidRPr="00D51F67">
        <w:t>, cit., 844.</w:t>
      </w:r>
    </w:p>
  </w:footnote>
  <w:footnote w:id="16">
    <w:p w14:paraId="44F7125C" w14:textId="16B2D2B0"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D’Alessandro</w:t>
      </w:r>
      <w:r w:rsidRPr="00D51F67">
        <w:t xml:space="preserve">, </w:t>
      </w:r>
      <w:r w:rsidRPr="00D51F67">
        <w:rPr>
          <w:i/>
        </w:rPr>
        <w:t>L’aggiotaggio e la manipolazione di mercato</w:t>
      </w:r>
      <w:r w:rsidRPr="00D51F67">
        <w:t xml:space="preserve">, in </w:t>
      </w:r>
      <w:r w:rsidRPr="00D51F67">
        <w:rPr>
          <w:smallCaps/>
        </w:rPr>
        <w:t>Canzio-Cerqua-Lupária</w:t>
      </w:r>
      <w:r w:rsidRPr="00D51F67">
        <w:t xml:space="preserve"> (a cura di), </w:t>
      </w:r>
      <w:r w:rsidRPr="00D51F67">
        <w:rPr>
          <w:i/>
        </w:rPr>
        <w:t>Diritto penale delle società – Tomo primo</w:t>
      </w:r>
      <w:r w:rsidRPr="00D51F67">
        <w:t>, cit., 844 e s.</w:t>
      </w:r>
    </w:p>
  </w:footnote>
  <w:footnote w:id="17">
    <w:p w14:paraId="4779CF08" w14:textId="77777777"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Fondaroli</w:t>
      </w:r>
      <w:r w:rsidRPr="00D51F67">
        <w:t xml:space="preserve">, </w:t>
      </w:r>
      <w:r w:rsidRPr="00D51F67">
        <w:rPr>
          <w:i/>
        </w:rPr>
        <w:t>L’illecito amministrativo di manipolazione del mercato</w:t>
      </w:r>
      <w:r w:rsidRPr="00D51F67">
        <w:t xml:space="preserve">, in </w:t>
      </w:r>
      <w:r w:rsidRPr="00D51F67">
        <w:rPr>
          <w:smallCaps/>
        </w:rPr>
        <w:t xml:space="preserve">Sgubbi–Fondaroli–Tripodi </w:t>
      </w:r>
      <w:r w:rsidRPr="00D51F67">
        <w:t xml:space="preserve">(a cura di), </w:t>
      </w:r>
      <w:r w:rsidRPr="00D51F67">
        <w:rPr>
          <w:i/>
        </w:rPr>
        <w:t>Diritto penale del mercato finanziario</w:t>
      </w:r>
      <w:r w:rsidRPr="00D51F67">
        <w:t xml:space="preserve">, cit., 152; </w:t>
      </w:r>
      <w:r w:rsidRPr="00D51F67">
        <w:rPr>
          <w:smallCaps/>
        </w:rPr>
        <w:t>Mezzetti</w:t>
      </w:r>
      <w:r w:rsidRPr="00D51F67">
        <w:t xml:space="preserve">, </w:t>
      </w:r>
      <w:r w:rsidRPr="00D51F67">
        <w:rPr>
          <w:i/>
        </w:rPr>
        <w:t>I reati finanziari</w:t>
      </w:r>
      <w:r w:rsidRPr="00D51F67">
        <w:t xml:space="preserve">, in </w:t>
      </w:r>
      <w:r w:rsidRPr="00D51F67">
        <w:rPr>
          <w:smallCaps/>
        </w:rPr>
        <w:t xml:space="preserve">Ambrosetti-Mezzetti-Ronco </w:t>
      </w:r>
      <w:r w:rsidRPr="00D51F67">
        <w:t xml:space="preserve">(a cura di), </w:t>
      </w:r>
      <w:r w:rsidRPr="00D51F67">
        <w:rPr>
          <w:i/>
        </w:rPr>
        <w:t>Diritto penale dell’impresa</w:t>
      </w:r>
      <w:r w:rsidRPr="00D51F67">
        <w:t>, cit., 258.</w:t>
      </w:r>
    </w:p>
  </w:footnote>
  <w:footnote w:id="18">
    <w:p w14:paraId="56F83400" w14:textId="1177FDDE"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D’Alessandro</w:t>
      </w:r>
      <w:r w:rsidRPr="00D51F67">
        <w:t xml:space="preserve">, </w:t>
      </w:r>
      <w:r w:rsidRPr="00D51F67">
        <w:rPr>
          <w:i/>
        </w:rPr>
        <w:t>L’aggiotaggio e la manipolazione di mercato</w:t>
      </w:r>
      <w:r w:rsidRPr="00D51F67">
        <w:t xml:space="preserve">, in </w:t>
      </w:r>
      <w:r w:rsidRPr="00D51F67">
        <w:rPr>
          <w:smallCaps/>
        </w:rPr>
        <w:t>Canzio-Cerqua-Lupária</w:t>
      </w:r>
      <w:r w:rsidRPr="00D51F67">
        <w:t xml:space="preserve"> (a cura di), </w:t>
      </w:r>
      <w:r w:rsidRPr="00D51F67">
        <w:rPr>
          <w:i/>
        </w:rPr>
        <w:t>Diritto penale delle società – Tomo primo</w:t>
      </w:r>
      <w:r w:rsidRPr="00D51F67">
        <w:t>, cit., 846.</w:t>
      </w:r>
    </w:p>
  </w:footnote>
  <w:footnote w:id="19">
    <w:p w14:paraId="18F510A3" w14:textId="2D3B316C" w:rsidR="00A71CC7" w:rsidRPr="00D51F67" w:rsidRDefault="00A71CC7" w:rsidP="0002344A">
      <w:pPr>
        <w:pStyle w:val="Testonotaapidipagina"/>
        <w:ind w:firstLine="454"/>
      </w:pPr>
      <w:r w:rsidRPr="00D51F67">
        <w:rPr>
          <w:rStyle w:val="Rimandonotaapidipagina"/>
        </w:rPr>
        <w:footnoteRef/>
      </w:r>
      <w:r w:rsidRPr="00D51F67">
        <w:t xml:space="preserve"> Si riporta il testo di tale comma: </w:t>
      </w:r>
      <w:r w:rsidRPr="00D51F67">
        <w:rPr>
          <w:i/>
        </w:rPr>
        <w:t>«</w:t>
      </w:r>
      <w:r w:rsidRPr="00D51F67">
        <w:rPr>
          <w:i/>
          <w:color w:val="434343"/>
        </w:rPr>
        <w:t>Ogni reato, che abbia cagionato un danno patrimoniale o non patrimoniale, obbliga al risarcimento il colpevole e le persone che, a norma delle leggi civili, debbono rispondere per il fatto di lui</w:t>
      </w:r>
      <w:r w:rsidRPr="00D51F67">
        <w:rPr>
          <w:i/>
        </w:rPr>
        <w:t>»</w:t>
      </w:r>
      <w:r w:rsidRPr="00D51F67">
        <w:t>.</w:t>
      </w:r>
    </w:p>
  </w:footnote>
  <w:footnote w:id="20">
    <w:p w14:paraId="7054585D" w14:textId="77777777" w:rsidR="00A71CC7" w:rsidRPr="00D51F67" w:rsidRDefault="00A71CC7" w:rsidP="008C33E2">
      <w:pPr>
        <w:pStyle w:val="Testonotaapidipagina"/>
        <w:ind w:firstLine="454"/>
      </w:pPr>
      <w:r w:rsidRPr="00D51F67">
        <w:rPr>
          <w:rStyle w:val="Rimandonotaapidipagina"/>
        </w:rPr>
        <w:footnoteRef/>
      </w:r>
      <w:r w:rsidRPr="00D51F67">
        <w:t xml:space="preserve"> Si riporta il testo di tale comma: </w:t>
      </w:r>
      <w:r w:rsidRPr="00D51F67">
        <w:rPr>
          <w:i/>
        </w:rPr>
        <w:t>«</w:t>
      </w:r>
      <w:r w:rsidRPr="00D51F67">
        <w:rPr>
          <w:i/>
          <w:color w:val="434343"/>
        </w:rPr>
        <w:t>Qualunque fatto doloso o colposo che cagiona ad altri un danno ingiusto, obbliga colui che ha commesso il fatto a risarcire il danno</w:t>
      </w:r>
      <w:r w:rsidRPr="00D51F67">
        <w:rPr>
          <w:i/>
        </w:rPr>
        <w:t>»</w:t>
      </w:r>
      <w:r w:rsidRPr="00D51F67">
        <w:t>.</w:t>
      </w:r>
    </w:p>
  </w:footnote>
  <w:footnote w:id="21">
    <w:p w14:paraId="46738CF0" w14:textId="3A618364" w:rsidR="00A71CC7" w:rsidRPr="00D51F67" w:rsidRDefault="00A71CC7" w:rsidP="0002344A">
      <w:pPr>
        <w:pStyle w:val="Testonotaapidipagina"/>
        <w:ind w:firstLine="454"/>
      </w:pPr>
      <w:r w:rsidRPr="00D51F67">
        <w:rPr>
          <w:rStyle w:val="Rimandonotaapidipagina"/>
        </w:rPr>
        <w:footnoteRef/>
      </w:r>
      <w:r w:rsidRPr="00D51F67">
        <w:t xml:space="preserve"> Cfr. </w:t>
      </w:r>
      <w:r w:rsidRPr="00D51F67">
        <w:rPr>
          <w:i/>
        </w:rPr>
        <w:t>supra</w:t>
      </w:r>
      <w:r w:rsidRPr="00D51F67">
        <w:t>.</w:t>
      </w:r>
    </w:p>
  </w:footnote>
  <w:footnote w:id="22">
    <w:p w14:paraId="69D33E8D" w14:textId="05074858" w:rsidR="00A71CC7" w:rsidRPr="00D51F67" w:rsidRDefault="00A71CC7" w:rsidP="0002344A">
      <w:pPr>
        <w:pStyle w:val="Testonotaapidipagina"/>
        <w:ind w:firstLine="454"/>
      </w:pPr>
      <w:r w:rsidRPr="00D51F67">
        <w:rPr>
          <w:rStyle w:val="Rimandonotaapidipagina"/>
        </w:rPr>
        <w:footnoteRef/>
      </w:r>
      <w:r w:rsidRPr="00D51F67">
        <w:t xml:space="preserve"> Con riferimento all’antigiuridicità in generale cfr. </w:t>
      </w:r>
      <w:r w:rsidRPr="00D51F67">
        <w:rPr>
          <w:smallCaps/>
        </w:rPr>
        <w:t>Trabucchi</w:t>
      </w:r>
      <w:r w:rsidRPr="00D51F67">
        <w:t xml:space="preserve">, </w:t>
      </w:r>
      <w:r w:rsidRPr="00D51F67">
        <w:rPr>
          <w:i/>
        </w:rPr>
        <w:t>Istituzioni di diritto civile</w:t>
      </w:r>
      <w:r w:rsidRPr="00D51F67">
        <w:t>, Padova, 2007, 945 e ss.</w:t>
      </w:r>
    </w:p>
  </w:footnote>
  <w:footnote w:id="23">
    <w:p w14:paraId="060063E8" w14:textId="7294F19D" w:rsidR="00A71CC7" w:rsidRPr="00D51F67" w:rsidRDefault="00A71CC7" w:rsidP="000557CD">
      <w:pPr>
        <w:pStyle w:val="Testonotaapidipagina"/>
        <w:ind w:firstLine="454"/>
      </w:pPr>
      <w:r w:rsidRPr="00D51F67">
        <w:rPr>
          <w:rStyle w:val="Rimandonotaapidipagina"/>
        </w:rPr>
        <w:footnoteRef/>
      </w:r>
      <w:r w:rsidRPr="00D51F67">
        <w:t xml:space="preserve"> Similmente saranno obbligate a fare le autorità di settore degli altri Stati membri, essendo i criteri dettati da</w:t>
      </w:r>
      <w:r w:rsidRPr="00D51F67">
        <w:rPr>
          <w:rFonts w:eastAsia="Times New Roman"/>
        </w:rPr>
        <w:t>ll’art. 2 della Direttiva 2004/72/CE</w:t>
      </w:r>
      <w:r w:rsidRPr="00D51F67">
        <w:t>.</w:t>
      </w:r>
    </w:p>
  </w:footnote>
  <w:footnote w:id="24">
    <w:p w14:paraId="1E28C1CA" w14:textId="37909B0F" w:rsidR="00A71CC7" w:rsidRDefault="00A71CC7" w:rsidP="000557CD">
      <w:pPr>
        <w:pStyle w:val="Testonotaapidipagina"/>
        <w:ind w:firstLine="454"/>
      </w:pPr>
      <w:r>
        <w:rPr>
          <w:rStyle w:val="Rimandonotaapidipagina"/>
        </w:rPr>
        <w:footnoteRef/>
      </w:r>
      <w:r>
        <w:t xml:space="preserve"> Cfr. </w:t>
      </w:r>
      <w:r w:rsidRPr="000557CD">
        <w:rPr>
          <w:i/>
        </w:rPr>
        <w:t>supra</w:t>
      </w:r>
      <w:r>
        <w:t>.</w:t>
      </w:r>
    </w:p>
  </w:footnote>
  <w:footnote w:id="25">
    <w:p w14:paraId="47957B21" w14:textId="28C905C9" w:rsidR="00A71CC7" w:rsidRDefault="00A71CC7" w:rsidP="000557CD">
      <w:pPr>
        <w:pStyle w:val="Testonotaapidipagina"/>
        <w:ind w:firstLine="454"/>
      </w:pPr>
      <w:r>
        <w:rPr>
          <w:rStyle w:val="Rimandonotaapidipagina"/>
        </w:rPr>
        <w:footnoteRef/>
      </w:r>
      <w:r>
        <w:t xml:space="preserve"> Cfr. </w:t>
      </w:r>
      <w:r w:rsidRPr="000557CD">
        <w:rPr>
          <w:i/>
        </w:rPr>
        <w:t>supra</w:t>
      </w:r>
      <w:r>
        <w:t>.</w:t>
      </w:r>
    </w:p>
  </w:footnote>
  <w:footnote w:id="26">
    <w:p w14:paraId="69494DFC" w14:textId="4FBB2003" w:rsidR="00A71CC7" w:rsidRPr="00D51F67" w:rsidRDefault="00A71CC7" w:rsidP="000557CD">
      <w:pPr>
        <w:pStyle w:val="Testonotaapidipagina"/>
        <w:ind w:firstLine="454"/>
      </w:pPr>
      <w:r w:rsidRPr="00D51F67">
        <w:rPr>
          <w:rStyle w:val="Rimandonotaapidipagina"/>
        </w:rPr>
        <w:footnoteRef/>
      </w:r>
      <w:r w:rsidRPr="00D51F67">
        <w:t xml:space="preserve"> Sul risarcimento derivante da lesione di interessi legittimi cfr. </w:t>
      </w:r>
      <w:r w:rsidRPr="00D51F67">
        <w:rPr>
          <w:smallCaps/>
        </w:rPr>
        <w:t>Jannarelli</w:t>
      </w:r>
      <w:r w:rsidRPr="00D51F67">
        <w:t xml:space="preserve">, </w:t>
      </w:r>
      <w:r w:rsidRPr="00D51F67">
        <w:rPr>
          <w:i/>
        </w:rPr>
        <w:t>La responsabilità civile</w:t>
      </w:r>
      <w:r w:rsidRPr="00D51F67">
        <w:t xml:space="preserve">, in </w:t>
      </w:r>
      <w:r w:rsidRPr="00D51F67">
        <w:rPr>
          <w:smallCaps/>
        </w:rPr>
        <w:t>Bessone</w:t>
      </w:r>
      <w:r w:rsidRPr="00D51F67">
        <w:t xml:space="preserve"> (a cura di), </w:t>
      </w:r>
      <w:r w:rsidRPr="00D51F67">
        <w:rPr>
          <w:i/>
        </w:rPr>
        <w:t>Istituzioni di diritto privato</w:t>
      </w:r>
      <w:r w:rsidRPr="00D51F67">
        <w:t xml:space="preserve">, Torino, 2009, 962 e s. </w:t>
      </w:r>
    </w:p>
  </w:footnote>
  <w:footnote w:id="27">
    <w:p w14:paraId="79B93D1A" w14:textId="77777777" w:rsidR="00A71CC7" w:rsidRPr="00D51F67" w:rsidRDefault="00A71CC7" w:rsidP="0002344A">
      <w:pPr>
        <w:pStyle w:val="Testonotaapidipagina"/>
        <w:ind w:firstLine="454"/>
      </w:pPr>
      <w:r w:rsidRPr="00D51F67">
        <w:rPr>
          <w:rStyle w:val="Rimandonotaapidipagina"/>
        </w:rPr>
        <w:footnoteRef/>
      </w:r>
      <w:r w:rsidRPr="00D51F67">
        <w:t xml:space="preserve"> Cfr. </w:t>
      </w:r>
      <w:r w:rsidRPr="00D51F67">
        <w:rPr>
          <w:smallCaps/>
        </w:rPr>
        <w:t>Terzi</w:t>
      </w:r>
      <w:r w:rsidRPr="00D51F67">
        <w:t xml:space="preserve">, </w:t>
      </w:r>
      <w:r w:rsidRPr="00D51F67">
        <w:rPr>
          <w:i/>
        </w:rPr>
        <w:t>Rilievi critici in tema di manipolazione del mercato</w:t>
      </w:r>
      <w:r w:rsidRPr="00D51F67">
        <w:t xml:space="preserve">, cit., 1103, la quale ritiene che </w:t>
      </w:r>
      <w:r w:rsidRPr="00D51F67">
        <w:rPr>
          <w:i/>
        </w:rPr>
        <w:t>«l’illecito amministrativo di manipolazione di mercato […] è descritto in una fattispecie più dettagliata e precisa, al punto da poter offrire nuovi ed utili strumenti ermeneutici per risolvere alcune problematiche interpretative ed applicative proprie della disciplina dell’aggiotaggio di cui all’art. 185 T.U.F.»</w:t>
      </w:r>
      <w:r w:rsidRPr="00D51F67">
        <w:t>.</w:t>
      </w:r>
    </w:p>
  </w:footnote>
  <w:footnote w:id="28">
    <w:p w14:paraId="38B07400" w14:textId="16C72CF5" w:rsidR="00A71CC7" w:rsidRPr="00D51F67" w:rsidRDefault="00A71CC7" w:rsidP="0002344A">
      <w:pPr>
        <w:pStyle w:val="Testonotaapidipagina"/>
        <w:ind w:firstLine="454"/>
      </w:pPr>
      <w:r w:rsidRPr="00D51F67">
        <w:rPr>
          <w:rStyle w:val="Rimandonotaapidipagina"/>
        </w:rPr>
        <w:footnoteRef/>
      </w:r>
      <w:r w:rsidRPr="00D51F67">
        <w:t xml:space="preserve"> In tal senso </w:t>
      </w:r>
      <w:r w:rsidRPr="00D51F67">
        <w:rPr>
          <w:smallCaps/>
        </w:rPr>
        <w:t>Lunghini</w:t>
      </w:r>
      <w:r w:rsidRPr="00D51F67">
        <w:t>,</w:t>
      </w:r>
      <w:r w:rsidRPr="00D51F67">
        <w:rPr>
          <w:i/>
          <w:iCs/>
        </w:rPr>
        <w:t xml:space="preserve"> Manipolazione del mercato</w:t>
      </w:r>
      <w:r w:rsidRPr="00D51F67">
        <w:rPr>
          <w:iCs/>
        </w:rPr>
        <w:t>, cit., 1479 e s</w:t>
      </w:r>
      <w:r w:rsidRPr="00D51F67">
        <w:rPr>
          <w:i/>
          <w:iCs/>
        </w:rPr>
        <w:t>.</w:t>
      </w:r>
      <w:r w:rsidRPr="00D51F67">
        <w:rPr>
          <w:iCs/>
        </w:rPr>
        <w:t xml:space="preserve">, secondo il quale il comma 4 dell’art. 187 </w:t>
      </w:r>
      <w:r w:rsidRPr="00D51F67">
        <w:rPr>
          <w:i/>
          <w:iCs/>
        </w:rPr>
        <w:t>ter</w:t>
      </w:r>
      <w:r w:rsidRPr="00D51F67">
        <w:rPr>
          <w:iCs/>
        </w:rPr>
        <w:t xml:space="preserve"> del T.U.F. </w:t>
      </w:r>
      <w:r w:rsidRPr="00D51F67">
        <w:rPr>
          <w:i/>
          <w:iCs/>
        </w:rPr>
        <w:t>«rappresenta una chiave di lettura dell’aggiotaggio […] sul piano della tipicità: […] chi agisce per motivi legittimi e attraverso prassi di mercato ammesse (alle quali possono essere accomunate le prassi usuali in relazione ai mercati non regolamentati) non può commettere il delitto di aggiotaggio»</w:t>
      </w:r>
      <w:r w:rsidRPr="00D51F67">
        <w:rPr>
          <w:iCs/>
        </w:rPr>
        <w:t>.</w:t>
      </w:r>
    </w:p>
  </w:footnote>
  <w:footnote w:id="29">
    <w:p w14:paraId="46999661" w14:textId="77777777" w:rsidR="00A71CC7" w:rsidRPr="00D51F67" w:rsidRDefault="00A71CC7" w:rsidP="0002344A">
      <w:pPr>
        <w:autoSpaceDE w:val="0"/>
        <w:autoSpaceDN w:val="0"/>
        <w:adjustRightInd w:val="0"/>
        <w:rPr>
          <w:rFonts w:cs="Times New Roman"/>
          <w:sz w:val="20"/>
          <w:szCs w:val="20"/>
        </w:rPr>
      </w:pPr>
      <w:r w:rsidRPr="00D51F67">
        <w:rPr>
          <w:rStyle w:val="Rimandonotaapidipagina"/>
          <w:rFonts w:cs="Times New Roman"/>
          <w:sz w:val="20"/>
          <w:szCs w:val="20"/>
        </w:rPr>
        <w:footnoteRef/>
      </w:r>
      <w:r w:rsidRPr="00D51F67">
        <w:rPr>
          <w:rFonts w:cs="Times New Roman"/>
          <w:sz w:val="20"/>
          <w:szCs w:val="20"/>
        </w:rPr>
        <w:t xml:space="preserve"> Si riporta il testo di tale articolo: </w:t>
      </w:r>
      <w:r w:rsidRPr="00D51F67">
        <w:rPr>
          <w:rFonts w:cs="Times New Roman"/>
          <w:i/>
          <w:sz w:val="20"/>
          <w:szCs w:val="20"/>
        </w:rPr>
        <w:t>«Il procedimento amministrativo di accertamento e il procedimento di opposizione di cui all'articolo 187-septies non possono essere sospesi per la pendenza del procedimento penale avente ad oggetto i medesimi fatti o fatti dal cui accertamento dipende la relativa definizione»</w:t>
      </w:r>
      <w:r w:rsidRPr="00D51F67">
        <w:rPr>
          <w:rFonts w:cs="Times New Roman"/>
          <w:sz w:val="20"/>
          <w:szCs w:val="20"/>
        </w:rPr>
        <w:t>.</w:t>
      </w:r>
    </w:p>
  </w:footnote>
  <w:footnote w:id="30">
    <w:p w14:paraId="099D24AF" w14:textId="0BCEEC31" w:rsidR="00A71CC7" w:rsidRPr="00D51F67" w:rsidRDefault="00A71CC7" w:rsidP="0002344A">
      <w:pPr>
        <w:autoSpaceDE w:val="0"/>
        <w:autoSpaceDN w:val="0"/>
        <w:adjustRightInd w:val="0"/>
        <w:rPr>
          <w:rFonts w:cs="Times New Roman"/>
          <w:i/>
          <w:sz w:val="20"/>
          <w:szCs w:val="20"/>
        </w:rPr>
      </w:pPr>
      <w:r w:rsidRPr="00D51F67">
        <w:rPr>
          <w:rStyle w:val="Rimandonotaapidipagina"/>
          <w:rFonts w:cs="Times New Roman"/>
          <w:sz w:val="20"/>
          <w:szCs w:val="20"/>
        </w:rPr>
        <w:footnoteRef/>
      </w:r>
      <w:r w:rsidRPr="00D51F67">
        <w:rPr>
          <w:rFonts w:cs="Times New Roman"/>
          <w:sz w:val="20"/>
          <w:szCs w:val="20"/>
        </w:rPr>
        <w:t xml:space="preserve"> Si riporta il testo di tale articolo: </w:t>
      </w:r>
      <w:r w:rsidRPr="00D51F67">
        <w:rPr>
          <w:rFonts w:cs="Times New Roman"/>
          <w:i/>
          <w:sz w:val="20"/>
          <w:szCs w:val="20"/>
        </w:rPr>
        <w:t>«Quando ha notizia di uno dei reati previsti dal capo II il pubblico ministero ne informa senza ritardo il Presidente della Consob.</w:t>
      </w:r>
    </w:p>
    <w:p w14:paraId="6E071382" w14:textId="649A2A95" w:rsidR="00A71CC7" w:rsidRPr="00D51F67" w:rsidRDefault="00A71CC7" w:rsidP="0002344A">
      <w:pPr>
        <w:autoSpaceDE w:val="0"/>
        <w:autoSpaceDN w:val="0"/>
        <w:adjustRightInd w:val="0"/>
        <w:rPr>
          <w:rFonts w:cs="Times New Roman"/>
          <w:i/>
          <w:sz w:val="20"/>
          <w:szCs w:val="20"/>
        </w:rPr>
      </w:pPr>
      <w:r w:rsidRPr="00D51F67">
        <w:rPr>
          <w:rFonts w:cs="Times New Roman"/>
          <w:i/>
          <w:sz w:val="20"/>
          <w:szCs w:val="20"/>
        </w:rPr>
        <w:t>Il Presidente della Consob trasmette al pubblico ministero, con una relazione motivata, la documentazione raccolta nello svolgimento dell'attività di accertamento nel caso in cui emergano elementi che facciano presumere la esistenza di un reato. La trasmissione degli atti al pubblico ministero avviene al più tardi al termine dell'attività di accertamento delle violazioni delle disposizioni di cui al presente titolo, capo III.</w:t>
      </w:r>
    </w:p>
    <w:p w14:paraId="6B05C340" w14:textId="218E4BBB" w:rsidR="00A71CC7" w:rsidRPr="00D51F67" w:rsidRDefault="00A71CC7" w:rsidP="0002344A">
      <w:pPr>
        <w:autoSpaceDE w:val="0"/>
        <w:autoSpaceDN w:val="0"/>
        <w:adjustRightInd w:val="0"/>
        <w:rPr>
          <w:rFonts w:cs="Times New Roman"/>
          <w:sz w:val="20"/>
          <w:szCs w:val="20"/>
        </w:rPr>
      </w:pPr>
      <w:r w:rsidRPr="00D51F67">
        <w:rPr>
          <w:rFonts w:cs="Times New Roman"/>
          <w:i/>
          <w:sz w:val="20"/>
          <w:szCs w:val="20"/>
        </w:rPr>
        <w:t>La Consob e l'autorità giudiziaria collaborano tra loro, anche mediante scambio di informazioni, al fine di agevolare l'accertamento delle violazioni di cui al presente titolo anche quando queste non costituiscono reato. A tale fine la Consob può utilizzare i documenti, i dati e le notizie acquisiti dalla Guardia di finanza nei modi e con le forme previsti dall'articolo 63, primo comma, del decreto del Presidente della Repubblica 26 ottobre 1972, n. 633, e dall'articolo 33, terzo comma, del decreto del Presidente della Repubblica 29 settembre 1973, n. 600»</w:t>
      </w:r>
      <w:r w:rsidRPr="00D51F67">
        <w:rPr>
          <w:rFonts w:cs="Times New Roman"/>
          <w:sz w:val="20"/>
          <w:szCs w:val="20"/>
        </w:rPr>
        <w:t>.</w:t>
      </w:r>
    </w:p>
  </w:footnote>
  <w:footnote w:id="31">
    <w:p w14:paraId="2818DACA" w14:textId="2E73D265" w:rsidR="00A71CC7" w:rsidRPr="00D51F67" w:rsidRDefault="00A71CC7" w:rsidP="0002344A">
      <w:pPr>
        <w:pStyle w:val="Testonotaapidipagina"/>
        <w:ind w:firstLine="454"/>
      </w:pPr>
      <w:r w:rsidRPr="00D51F67">
        <w:rPr>
          <w:rStyle w:val="Rimandonotaapidipagina"/>
        </w:rPr>
        <w:footnoteRef/>
      </w:r>
      <w:r w:rsidRPr="00D51F67">
        <w:t xml:space="preserve"> Per un quadro dei diversi orientamenti dottrinari in merito cfr. </w:t>
      </w:r>
      <w:r w:rsidRPr="00D51F67">
        <w:rPr>
          <w:smallCaps/>
        </w:rPr>
        <w:t>Consulich</w:t>
      </w:r>
      <w:r w:rsidRPr="00D51F67">
        <w:t xml:space="preserve">, </w:t>
      </w:r>
      <w:r w:rsidRPr="00D51F67">
        <w:rPr>
          <w:i/>
        </w:rPr>
        <w:t>La giustizia e il mercato. Miti e realtà della tutela penale dell’investimento mobiliare</w:t>
      </w:r>
      <w:r w:rsidRPr="00D51F67">
        <w:t>, cit., 398, nota 48.</w:t>
      </w:r>
    </w:p>
  </w:footnote>
  <w:footnote w:id="32">
    <w:p w14:paraId="0CFC28D5" w14:textId="4AB6BB7A" w:rsidR="00A71CC7" w:rsidRPr="00D51F67" w:rsidRDefault="00A71CC7" w:rsidP="0002344A">
      <w:pPr>
        <w:autoSpaceDE w:val="0"/>
        <w:autoSpaceDN w:val="0"/>
        <w:adjustRightInd w:val="0"/>
        <w:rPr>
          <w:rFonts w:cs="Times New Roman"/>
          <w:sz w:val="20"/>
          <w:szCs w:val="20"/>
        </w:rPr>
      </w:pPr>
      <w:r w:rsidRPr="00D51F67">
        <w:rPr>
          <w:rStyle w:val="Rimandonotaapidipagina"/>
          <w:rFonts w:cs="Times New Roman"/>
          <w:sz w:val="20"/>
          <w:szCs w:val="20"/>
        </w:rPr>
        <w:footnoteRef/>
      </w:r>
      <w:r w:rsidRPr="00D51F67">
        <w:rPr>
          <w:rFonts w:cs="Times New Roman"/>
          <w:sz w:val="20"/>
          <w:szCs w:val="20"/>
        </w:rPr>
        <w:t xml:space="preserve"> Si riporta il testo di tale articolo: </w:t>
      </w:r>
      <w:r w:rsidRPr="00D51F67">
        <w:rPr>
          <w:rFonts w:cs="Times New Roman"/>
          <w:i/>
          <w:sz w:val="20"/>
          <w:szCs w:val="20"/>
        </w:rPr>
        <w:t>«Quando per lo stesso fatto è stata applicata a carico del reo o dell'ente una sanzione amministrativa pecuniaria ai sensi dell'articolo 187-septies, la esazione della pena pecuniaria e della sanzione pecuniaria dipendente da reato è limitata alla parte eccedente quella riscossa dall'Autorità amministrativa»</w:t>
      </w:r>
      <w:r w:rsidRPr="00D51F67">
        <w:rPr>
          <w:rFonts w:cs="Times New Roman"/>
          <w:sz w:val="20"/>
          <w:szCs w:val="20"/>
        </w:rPr>
        <w:t>.</w:t>
      </w:r>
    </w:p>
  </w:footnote>
  <w:footnote w:id="33">
    <w:p w14:paraId="6229836D" w14:textId="7DAC133D"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Fondaroli</w:t>
      </w:r>
      <w:r w:rsidRPr="00D51F67">
        <w:t xml:space="preserve">, </w:t>
      </w:r>
      <w:r w:rsidRPr="00D51F67">
        <w:rPr>
          <w:i/>
        </w:rPr>
        <w:t>L’illecito amministrativo di manipolazione del mercato</w:t>
      </w:r>
      <w:r w:rsidRPr="00D51F67">
        <w:t xml:space="preserve">, in </w:t>
      </w:r>
      <w:r w:rsidRPr="00D51F67">
        <w:rPr>
          <w:smallCaps/>
        </w:rPr>
        <w:t xml:space="preserve">Sgubbi–Fondaroli–Tripodi </w:t>
      </w:r>
      <w:r w:rsidRPr="00D51F67">
        <w:t xml:space="preserve">(a cura di), </w:t>
      </w:r>
      <w:r w:rsidRPr="00D51F67">
        <w:rPr>
          <w:i/>
        </w:rPr>
        <w:t>Diritto penale del mercato finanziario</w:t>
      </w:r>
      <w:r w:rsidRPr="00D51F67">
        <w:t>, cit., 158.</w:t>
      </w:r>
    </w:p>
  </w:footnote>
  <w:footnote w:id="34">
    <w:p w14:paraId="5BB82D73" w14:textId="519CD2CD" w:rsidR="00A71CC7" w:rsidRPr="00D51F67" w:rsidRDefault="00A71CC7" w:rsidP="0002344A">
      <w:pPr>
        <w:pStyle w:val="Testonotaapidipagina"/>
        <w:ind w:firstLine="454"/>
      </w:pPr>
      <w:r w:rsidRPr="00D51F67">
        <w:rPr>
          <w:rStyle w:val="Rimandonotaapidipagina"/>
        </w:rPr>
        <w:footnoteRef/>
      </w:r>
      <w:r w:rsidRPr="00D51F67">
        <w:t xml:space="preserve"> Cfr. </w:t>
      </w:r>
      <w:r w:rsidRPr="00D51F67">
        <w:rPr>
          <w:smallCaps/>
        </w:rPr>
        <w:t>Brannetti</w:t>
      </w:r>
      <w:r w:rsidRPr="00D51F67">
        <w:t xml:space="preserve">, </w:t>
      </w:r>
      <w:r w:rsidRPr="00D51F67">
        <w:rPr>
          <w:i/>
        </w:rPr>
        <w:t>La manipolazione del mercato, tra problematiche attuali e prospettive future</w:t>
      </w:r>
      <w:r w:rsidRPr="00D51F67">
        <w:t>, Roma, 2014, 129.</w:t>
      </w:r>
    </w:p>
  </w:footnote>
  <w:footnote w:id="35">
    <w:p w14:paraId="6B14E949" w14:textId="3E0D9CC5"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Amati</w:t>
      </w:r>
      <w:r w:rsidRPr="00D51F67">
        <w:t xml:space="preserve">, </w:t>
      </w:r>
      <w:r w:rsidRPr="00D51F67">
        <w:rPr>
          <w:i/>
        </w:rPr>
        <w:t>Abusi di mercato e sistema penale</w:t>
      </w:r>
      <w:r w:rsidRPr="00D51F67">
        <w:t>, cit., 402 e s.</w:t>
      </w:r>
    </w:p>
  </w:footnote>
  <w:footnote w:id="36">
    <w:p w14:paraId="16EBA85A" w14:textId="332EDEAC" w:rsidR="00A71CC7" w:rsidRPr="00D51F67" w:rsidRDefault="00A71CC7" w:rsidP="0002344A">
      <w:pPr>
        <w:pStyle w:val="Testonotaapidipagina"/>
        <w:ind w:firstLine="454"/>
      </w:pPr>
      <w:r w:rsidRPr="00D51F67">
        <w:rPr>
          <w:rStyle w:val="Rimandonotaapidipagina"/>
        </w:rPr>
        <w:footnoteRef/>
      </w:r>
      <w:r w:rsidRPr="00D51F67">
        <w:t xml:space="preserve"> Si riporta il testo di tale comma: </w:t>
      </w:r>
      <w:r w:rsidRPr="00D51F67">
        <w:rPr>
          <w:i/>
        </w:rPr>
        <w:t>«Quando uno stesso fatto è punito da una disposizione penale e da una disposizione che prevede una sanzione amministrativa, ovvero da una pluralità di disposizioni che prevedono sanzioni amministrative, si applica la disposizione speciale»</w:t>
      </w:r>
      <w:r w:rsidRPr="00D51F67">
        <w:t>.</w:t>
      </w:r>
    </w:p>
  </w:footnote>
  <w:footnote w:id="37">
    <w:p w14:paraId="12CB138D" w14:textId="281B1940" w:rsidR="00A71CC7" w:rsidRPr="00D51F67" w:rsidRDefault="00A71CC7" w:rsidP="0002344A">
      <w:pPr>
        <w:pStyle w:val="Testonotaapidipagina"/>
        <w:ind w:firstLine="454"/>
      </w:pPr>
      <w:r w:rsidRPr="00D51F67">
        <w:rPr>
          <w:rStyle w:val="Rimandonotaapidipagina"/>
        </w:rPr>
        <w:footnoteRef/>
      </w:r>
      <w:r w:rsidRPr="00D51F67">
        <w:t xml:space="preserve"> La MAD è stata recepita con la legge n. 62 del 18 aprile 2005, mentre a norma dell’art. 18 della MAD, il termine per il suo recepimento era fissato entro il 12 ottobre 2004.</w:t>
      </w:r>
    </w:p>
  </w:footnote>
  <w:footnote w:id="38">
    <w:p w14:paraId="06719226" w14:textId="652BA427" w:rsidR="00A71CC7" w:rsidRPr="00D51F67" w:rsidRDefault="00A71CC7" w:rsidP="0002344A">
      <w:pPr>
        <w:pStyle w:val="Testonotaapidipagina"/>
        <w:ind w:firstLine="454"/>
      </w:pPr>
      <w:r w:rsidRPr="00D51F67">
        <w:rPr>
          <w:rStyle w:val="Rimandonotaapidipagina"/>
        </w:rPr>
        <w:footnoteRef/>
      </w:r>
      <w:r w:rsidRPr="00D51F67">
        <w:t xml:space="preserve"> Resoconto stenografico della seduta n. 736 del 10 febbraio 2005, consultabile sul sito del Senato all’indirizzo http://www.senato.it/japp/bgt/showdoc/frame.jsp?tipodoc=Resaula&amp;leg=14&amp;id=126820 (consultato il 18 ottobre 2014).</w:t>
      </w:r>
    </w:p>
  </w:footnote>
  <w:footnote w:id="39">
    <w:p w14:paraId="2E9692EA" w14:textId="7C039211" w:rsidR="00A71CC7" w:rsidRPr="00D51F67" w:rsidRDefault="00A71CC7" w:rsidP="0002344A">
      <w:pPr>
        <w:pStyle w:val="Testonotaapidipagina"/>
        <w:ind w:firstLine="454"/>
        <w:rPr>
          <w:bCs/>
          <w:color w:val="262626"/>
        </w:rPr>
      </w:pPr>
      <w:r w:rsidRPr="00D51F67">
        <w:rPr>
          <w:rStyle w:val="Rimandonotaapidipagina"/>
        </w:rPr>
        <w:footnoteRef/>
      </w:r>
      <w:r w:rsidRPr="00D51F67">
        <w:t xml:space="preserve"> CGUE (Terza Sezione) del 23 dicembre 2009, Causa C-45/08, </w:t>
      </w:r>
      <w:r w:rsidRPr="00D51F67">
        <w:rPr>
          <w:i/>
        </w:rPr>
        <w:t xml:space="preserve">Spector Photo Group NV, Van Raemdonck vs. </w:t>
      </w:r>
      <w:r w:rsidRPr="00D51F67">
        <w:rPr>
          <w:bCs/>
          <w:i/>
          <w:color w:val="262626"/>
        </w:rPr>
        <w:t>Commissie voor het Bank, Financie en Assurantiewezen (CBFA)</w:t>
      </w:r>
      <w:r w:rsidRPr="00D51F67">
        <w:rPr>
          <w:bCs/>
          <w:color w:val="262626"/>
        </w:rPr>
        <w:t xml:space="preserve">, la quale al punto 42 stabilisce che </w:t>
      </w:r>
      <w:r w:rsidRPr="00D51F67">
        <w:rPr>
          <w:i/>
          <w:color w:val="262626"/>
        </w:rPr>
        <w:t>«È vero che l’art. 14, n. 1, della direttiva 2003/6 non impone agli Stati membri di prevedere sanzioni penali nei confronti degli autori di abusi di informazioni privilegiate, ma si limita ad affermare che tali Stati sono tenuti a garantire che “possano essere adottate le opportune misure amministrative o irrogate le opportune sanzioni amministrative a carico delle persone responsabili del mancato rispetto delle disposizioni adottate in attuazione di [tale] direttiva”, essendo gli Stati membri, inoltre, tenuti a garantire che queste misure siano “efficaci, proporzionate e dissuasive”. Tuttavia, considerata la natura delle violazioni di cui trattasi, nonché dato il grado di severità delle sanzioni che esse possono comportare, siffatte sanzioni, ai fini dell’applicazione della CEDU, possono essere qualificate come sanzioni penali»</w:t>
      </w:r>
      <w:r w:rsidRPr="00D51F67">
        <w:rPr>
          <w:color w:val="262626"/>
        </w:rPr>
        <w:t>.</w:t>
      </w:r>
    </w:p>
  </w:footnote>
  <w:footnote w:id="40">
    <w:p w14:paraId="5372862F" w14:textId="30078A64" w:rsidR="00A71CC7" w:rsidRPr="00D51F67" w:rsidRDefault="00A71CC7" w:rsidP="0002344A">
      <w:pPr>
        <w:pStyle w:val="Testonotaapidipagina"/>
        <w:ind w:firstLine="454"/>
      </w:pPr>
      <w:r w:rsidRPr="00D51F67">
        <w:rPr>
          <w:rStyle w:val="Rimandonotaapidipagina"/>
        </w:rPr>
        <w:footnoteRef/>
      </w:r>
      <w:r w:rsidRPr="00D51F67">
        <w:t xml:space="preserve"> CGUE (Terza Sezione) del 23 dicembre 2009, Causa C-45/08, </w:t>
      </w:r>
      <w:r w:rsidRPr="00D51F67">
        <w:rPr>
          <w:i/>
        </w:rPr>
        <w:t xml:space="preserve">Spector Photo Group NV, Van Raemdonck vs. </w:t>
      </w:r>
      <w:r w:rsidRPr="00D51F67">
        <w:rPr>
          <w:bCs/>
          <w:i/>
          <w:color w:val="262626"/>
        </w:rPr>
        <w:t>Commissie voor het Bank, Financie en Assurantiewezen (CBFA)</w:t>
      </w:r>
      <w:r w:rsidRPr="00D51F67">
        <w:rPr>
          <w:bCs/>
          <w:color w:val="262626"/>
        </w:rPr>
        <w:t xml:space="preserve">, punto 77: </w:t>
      </w:r>
      <w:r w:rsidRPr="00D51F67">
        <w:rPr>
          <w:i/>
          <w:color w:val="262626"/>
        </w:rPr>
        <w:t>«l’art. 14, n. 1 della direttiva 2003/6 deve essere interpretato nel senso che, se uno Stato membro, salvo le sanzioni amministrative previste da tale disposizione, ha previsto la possibilità d’infliggere una sanzione finanziaria penale, nella valutazione del carattere efficace, proporzionato e dissuasivo della sanzione amministrativa non occorre tenere conto della possibilità e/o del livello di un’eventuale sanzione penale ulteriore»</w:t>
      </w:r>
      <w:r w:rsidRPr="00D51F67">
        <w:rPr>
          <w:color w:val="262626"/>
        </w:rPr>
        <w:t>.</w:t>
      </w:r>
    </w:p>
  </w:footnote>
  <w:footnote w:id="41">
    <w:p w14:paraId="51BE9449" w14:textId="6CD11244" w:rsidR="00A71CC7" w:rsidRDefault="00A71CC7" w:rsidP="0002344A">
      <w:pPr>
        <w:pStyle w:val="Testonotaapidipagina"/>
        <w:ind w:firstLine="454"/>
      </w:pPr>
      <w:r>
        <w:rPr>
          <w:rStyle w:val="Rimandonotaapidipagina"/>
        </w:rPr>
        <w:footnoteRef/>
      </w:r>
      <w:r>
        <w:t xml:space="preserve"> Vedi </w:t>
      </w:r>
      <w:r w:rsidRPr="009644D0">
        <w:rPr>
          <w:i/>
        </w:rPr>
        <w:t>supra</w:t>
      </w:r>
      <w:r>
        <w:t>.</w:t>
      </w:r>
    </w:p>
  </w:footnote>
  <w:footnote w:id="42">
    <w:p w14:paraId="32122227" w14:textId="32DB37F2" w:rsidR="00A71CC7" w:rsidRPr="00D51F67" w:rsidRDefault="00A71CC7" w:rsidP="0002344A">
      <w:pPr>
        <w:pStyle w:val="Testonotaapidipagina"/>
        <w:ind w:firstLine="454"/>
      </w:pPr>
      <w:r w:rsidRPr="00D51F67">
        <w:rPr>
          <w:rStyle w:val="Rimandonotaapidipagina"/>
        </w:rPr>
        <w:footnoteRef/>
      </w:r>
      <w:r w:rsidRPr="00D51F67">
        <w:t xml:space="preserve"> La Carta dei diritti fondamentali dell’Unione europea, anche conosciuta con l’acronimo di CDFUE o come Carta di Nizza, è stata proclamata il 7 dicembre 2000 a Nizza. La Carta è stata modificata e proclamata una seconda volta nel dicembre 2007 in vista della sua inclusione nei Trattati. Con l’entrata in vigore del Trattato di Lisbona, alla Carta è stato conferito lo stesso valore giuridico vincolante dei Trattati.</w:t>
      </w:r>
    </w:p>
  </w:footnote>
  <w:footnote w:id="43">
    <w:p w14:paraId="4E9B9612" w14:textId="77777777" w:rsidR="00A71CC7" w:rsidRPr="00D51F67" w:rsidRDefault="00A71CC7" w:rsidP="0002344A">
      <w:pPr>
        <w:pStyle w:val="Testonotaapidipagina"/>
        <w:ind w:firstLine="454"/>
      </w:pPr>
      <w:r w:rsidRPr="00D51F67">
        <w:rPr>
          <w:rStyle w:val="Rimandonotaapidipagina"/>
        </w:rPr>
        <w:footnoteRef/>
      </w:r>
      <w:r w:rsidRPr="00D51F67">
        <w:t xml:space="preserve"> Si riporta il testo di tale articolo: </w:t>
      </w:r>
      <w:r w:rsidRPr="00D51F67">
        <w:rPr>
          <w:i/>
        </w:rPr>
        <w:t>«</w:t>
      </w:r>
      <w:r w:rsidRPr="00D51F67">
        <w:rPr>
          <w:i/>
          <w:color w:val="000000"/>
        </w:rPr>
        <w:t>Nessuno può essere perseguito o condannato per un reato per il quale è già stato assolto o condannato nell'Unione a seguito di una sentenza penale definitiva conformemente alla legge</w:t>
      </w:r>
      <w:r w:rsidRPr="00D51F67">
        <w:rPr>
          <w:i/>
        </w:rPr>
        <w:t>»</w:t>
      </w:r>
      <w:r w:rsidRPr="00D51F67">
        <w:t>.</w:t>
      </w:r>
    </w:p>
  </w:footnote>
  <w:footnote w:id="44">
    <w:p w14:paraId="15565C94" w14:textId="538F11CD" w:rsidR="00A71CC7" w:rsidRPr="00D51F67" w:rsidRDefault="00A71CC7" w:rsidP="0002344A">
      <w:pPr>
        <w:autoSpaceDE w:val="0"/>
        <w:autoSpaceDN w:val="0"/>
        <w:adjustRightInd w:val="0"/>
        <w:rPr>
          <w:rFonts w:cs="Times New Roman"/>
          <w:bCs/>
          <w:sz w:val="20"/>
          <w:szCs w:val="20"/>
        </w:rPr>
      </w:pPr>
      <w:r w:rsidRPr="00D51F67">
        <w:rPr>
          <w:rStyle w:val="Rimandonotaapidipagina"/>
          <w:rFonts w:cs="Times New Roman"/>
          <w:sz w:val="20"/>
          <w:szCs w:val="20"/>
        </w:rPr>
        <w:footnoteRef/>
      </w:r>
      <w:r w:rsidRPr="00D51F67">
        <w:rPr>
          <w:rFonts w:cs="Times New Roman"/>
          <w:sz w:val="20"/>
          <w:szCs w:val="20"/>
        </w:rPr>
        <w:t xml:space="preserve"> </w:t>
      </w:r>
      <w:r w:rsidRPr="00D51F67">
        <w:rPr>
          <w:rFonts w:cs="Times New Roman"/>
          <w:bCs/>
          <w:sz w:val="20"/>
          <w:szCs w:val="20"/>
        </w:rPr>
        <w:t xml:space="preserve">CGUE, Grande sezione, 26 febbraio 2013, Causa </w:t>
      </w:r>
      <w:r w:rsidRPr="00D51F67">
        <w:rPr>
          <w:rFonts w:cs="Times New Roman"/>
          <w:sz w:val="20"/>
          <w:szCs w:val="20"/>
        </w:rPr>
        <w:t>C-617/10,</w:t>
      </w:r>
      <w:r w:rsidRPr="00D51F67">
        <w:rPr>
          <w:rFonts w:cs="Times New Roman"/>
          <w:bCs/>
          <w:sz w:val="20"/>
          <w:szCs w:val="20"/>
        </w:rPr>
        <w:t xml:space="preserve"> </w:t>
      </w:r>
      <w:r w:rsidRPr="00D51F67">
        <w:rPr>
          <w:rFonts w:cs="Times New Roman"/>
          <w:bCs/>
          <w:i/>
          <w:sz w:val="20"/>
          <w:szCs w:val="20"/>
        </w:rPr>
        <w:t xml:space="preserve">Åklagaren </w:t>
      </w:r>
      <w:r w:rsidRPr="00D51F67">
        <w:rPr>
          <w:rFonts w:cs="Times New Roman"/>
          <w:i/>
          <w:sz w:val="20"/>
          <w:szCs w:val="20"/>
        </w:rPr>
        <w:t xml:space="preserve">vs. </w:t>
      </w:r>
      <w:r w:rsidRPr="00D51F67">
        <w:rPr>
          <w:rFonts w:cs="Times New Roman"/>
          <w:bCs/>
          <w:i/>
          <w:sz w:val="20"/>
          <w:szCs w:val="20"/>
        </w:rPr>
        <w:t>Fransson</w:t>
      </w:r>
      <w:r w:rsidRPr="00D51F67">
        <w:rPr>
          <w:rFonts w:cs="Times New Roman"/>
          <w:bCs/>
          <w:sz w:val="20"/>
          <w:szCs w:val="20"/>
        </w:rPr>
        <w:t xml:space="preserve">, che nel punto uno del dispositivo richiama la Carta dei diritti fondamentali: </w:t>
      </w:r>
      <w:r w:rsidRPr="00D51F67">
        <w:rPr>
          <w:rFonts w:cs="Times New Roman"/>
          <w:bCs/>
          <w:i/>
          <w:sz w:val="20"/>
          <w:szCs w:val="20"/>
        </w:rPr>
        <w:t>«Il principio del ne bis in idem sancito all’articolo 50 della Carta dei diritti fondamentali dell’Unione europea non osta a che uno Stato membro imponga, per le medesime violazioni di obblighi dichiarativi in materia di imposta sul valore aggiunto, una sanzione tributaria e successivamente una sanzione penale, qualora la prima sanzione non sia di natura penale, circostanza che dev’essere verificata dal giudice nazionale»</w:t>
      </w:r>
      <w:r w:rsidRPr="00D51F67">
        <w:rPr>
          <w:rFonts w:cs="Times New Roman"/>
          <w:bCs/>
          <w:sz w:val="20"/>
          <w:szCs w:val="20"/>
        </w:rPr>
        <w:t>.</w:t>
      </w:r>
    </w:p>
  </w:footnote>
  <w:footnote w:id="45">
    <w:p w14:paraId="69B4A931" w14:textId="68B8649F"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Miedico</w:t>
      </w:r>
      <w:r w:rsidRPr="00D51F67">
        <w:t xml:space="preserve">, </w:t>
      </w:r>
      <w:r w:rsidRPr="00D51F67">
        <w:rPr>
          <w:i/>
        </w:rPr>
        <w:t>La manipolazione di mercato: illecito penale o illecito amministrativo? Commento a Cass., V, 3.5.2006, n. 15199</w:t>
      </w:r>
      <w:r w:rsidRPr="00D51F67">
        <w:t>, cit., 633.</w:t>
      </w:r>
    </w:p>
  </w:footnote>
  <w:footnote w:id="46">
    <w:p w14:paraId="45FFEFB2" w14:textId="4A98AFB5"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Alessandri</w:t>
      </w:r>
      <w:r w:rsidRPr="00D51F67">
        <w:t xml:space="preserve">, </w:t>
      </w:r>
      <w:r w:rsidRPr="00D51F67">
        <w:rPr>
          <w:i/>
        </w:rPr>
        <w:t>Attività d’impresa e responsabilità penali</w:t>
      </w:r>
      <w:r w:rsidRPr="00D51F67">
        <w:t xml:space="preserve">, in </w:t>
      </w:r>
      <w:r w:rsidRPr="00D51F67">
        <w:rPr>
          <w:i/>
        </w:rPr>
        <w:t>Rivista italiana di diritto e procedura penale</w:t>
      </w:r>
      <w:r w:rsidRPr="00D51F67">
        <w:t>, 2005, 555.</w:t>
      </w:r>
    </w:p>
  </w:footnote>
  <w:footnote w:id="47">
    <w:p w14:paraId="613975E2" w14:textId="045FF206"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Mucciarelli</w:t>
      </w:r>
      <w:r w:rsidRPr="00D51F67">
        <w:t xml:space="preserve">, </w:t>
      </w:r>
      <w:r w:rsidRPr="00D51F67">
        <w:rPr>
          <w:i/>
        </w:rPr>
        <w:t>Primato della giurisdizione e diritto economico sanzionatorio: a proposito di market abuse</w:t>
      </w:r>
      <w:r w:rsidRPr="00D51F67">
        <w:t xml:space="preserve">, in </w:t>
      </w:r>
      <w:r w:rsidRPr="00D51F67">
        <w:rPr>
          <w:i/>
        </w:rPr>
        <w:t>Diritto penale e processo</w:t>
      </w:r>
      <w:r w:rsidRPr="00D51F67">
        <w:t>, 2/2006, 139.</w:t>
      </w:r>
    </w:p>
  </w:footnote>
  <w:footnote w:id="48">
    <w:p w14:paraId="616EA043" w14:textId="5FAF4F4C"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Amati</w:t>
      </w:r>
      <w:r w:rsidRPr="00D51F67">
        <w:t xml:space="preserve">, </w:t>
      </w:r>
      <w:r w:rsidRPr="00D51F67">
        <w:rPr>
          <w:i/>
        </w:rPr>
        <w:t>Abusi di mercato e sistema penale</w:t>
      </w:r>
      <w:r w:rsidRPr="00D51F67">
        <w:t>, cit., 396 e s.</w:t>
      </w:r>
    </w:p>
  </w:footnote>
  <w:footnote w:id="49">
    <w:p w14:paraId="00528CA7" w14:textId="77777777" w:rsidR="00A71CC7" w:rsidRPr="00D51F67" w:rsidRDefault="00A71CC7" w:rsidP="0002344A">
      <w:pPr>
        <w:pStyle w:val="Testonotaapidipagina"/>
        <w:ind w:firstLine="454"/>
      </w:pPr>
      <w:r w:rsidRPr="00D51F67">
        <w:rPr>
          <w:rStyle w:val="Rimandonotaapidipagina"/>
        </w:rPr>
        <w:footnoteRef/>
      </w:r>
      <w:r w:rsidRPr="00D51F67">
        <w:t xml:space="preserve"> App. Torino, 23 gennaio 2008, Pres. Troiano, Rel. Patti, in </w:t>
      </w:r>
      <w:r w:rsidRPr="00D51F67">
        <w:rPr>
          <w:i/>
        </w:rPr>
        <w:t>Le società</w:t>
      </w:r>
      <w:r w:rsidRPr="00D51F67">
        <w:t>, 9/2008, 1106 e ss.</w:t>
      </w:r>
    </w:p>
  </w:footnote>
  <w:footnote w:id="50">
    <w:p w14:paraId="0413960C" w14:textId="5F3A0BDD" w:rsidR="00A71CC7" w:rsidRPr="00D51F67" w:rsidRDefault="00A71CC7" w:rsidP="0002344A">
      <w:pPr>
        <w:pStyle w:val="Testonotaapidipagina"/>
        <w:ind w:firstLine="454"/>
      </w:pPr>
      <w:r w:rsidRPr="00D51F67">
        <w:rPr>
          <w:rStyle w:val="Rimandonotaapidipagina"/>
        </w:rPr>
        <w:footnoteRef/>
      </w:r>
      <w:r w:rsidRPr="00D51F67">
        <w:t xml:space="preserve"> Vedi </w:t>
      </w:r>
      <w:r w:rsidRPr="00D51F67">
        <w:rPr>
          <w:i/>
        </w:rPr>
        <w:t>infra</w:t>
      </w:r>
      <w:r w:rsidRPr="00D51F67">
        <w:t xml:space="preserve"> questo parafrafo.</w:t>
      </w:r>
    </w:p>
  </w:footnote>
  <w:footnote w:id="51">
    <w:p w14:paraId="2AC780C1" w14:textId="3EFF930D" w:rsidR="00A71CC7" w:rsidRPr="00D51F67" w:rsidRDefault="00A71CC7" w:rsidP="0002344A">
      <w:pPr>
        <w:pStyle w:val="Testonotaapidipagina"/>
        <w:ind w:firstLine="454"/>
      </w:pPr>
      <w:r w:rsidRPr="00D51F67">
        <w:rPr>
          <w:rStyle w:val="Rimandonotaapidipagina"/>
        </w:rPr>
        <w:footnoteRef/>
      </w:r>
      <w:r w:rsidRPr="00D51F67">
        <w:t xml:space="preserve"> La digressione storica è tratta da Tribunale di Torino, 18 marzo 2011, in </w:t>
      </w:r>
      <w:r w:rsidRPr="00D51F67">
        <w:rPr>
          <w:i/>
        </w:rPr>
        <w:t>www.penalecontemporaneo.it</w:t>
      </w:r>
      <w:r w:rsidRPr="00D51F67">
        <w:t xml:space="preserve">, da </w:t>
      </w:r>
      <w:r w:rsidRPr="00D51F67">
        <w:rPr>
          <w:smallCaps/>
        </w:rPr>
        <w:t>Brannetti</w:t>
      </w:r>
      <w:r w:rsidRPr="00D51F67">
        <w:t xml:space="preserve">, </w:t>
      </w:r>
      <w:r w:rsidRPr="00D51F67">
        <w:rPr>
          <w:i/>
        </w:rPr>
        <w:t>La manipolazione del mercato, tra problematiche attuali e prospettive future</w:t>
      </w:r>
      <w:r w:rsidRPr="00D51F67">
        <w:t xml:space="preserve">, cit., 143 e s. e da Corte EDU, Sez. II, sent. 4 marzo 2014, </w:t>
      </w:r>
      <w:r w:rsidRPr="00D51F67">
        <w:rPr>
          <w:i/>
        </w:rPr>
        <w:t>Grande Stevens e a. c. Italia</w:t>
      </w:r>
      <w:r w:rsidRPr="00D51F67">
        <w:t>, ric. n. 18640/10 e a.</w:t>
      </w:r>
    </w:p>
  </w:footnote>
  <w:footnote w:id="52">
    <w:p w14:paraId="5063A9D6" w14:textId="1256A905" w:rsidR="00A71CC7" w:rsidRPr="00D51F67" w:rsidRDefault="00A71CC7" w:rsidP="0002344A">
      <w:pPr>
        <w:pStyle w:val="Testonotaapidipagina"/>
        <w:ind w:firstLine="454"/>
      </w:pPr>
      <w:r w:rsidRPr="00D51F67">
        <w:rPr>
          <w:rStyle w:val="Rimandonotaapidipagina"/>
        </w:rPr>
        <w:footnoteRef/>
      </w:r>
      <w:r w:rsidRPr="00D51F67">
        <w:t xml:space="preserve"> L’</w:t>
      </w:r>
      <w:r w:rsidRPr="00D51F67">
        <w:rPr>
          <w:i/>
        </w:rPr>
        <w:t>equity swap</w:t>
      </w:r>
      <w:r w:rsidRPr="00D51F67">
        <w:t xml:space="preserve"> è un contratto finanziario derivato con cui le parti si accordano per scambiarsi, ad una data futura, flussi di pagamenti il cui ammontare è determinato da un indice di riferimento. Nel caso in esame, l’indice era rappresentato dall’andamento del titolo FIAT.</w:t>
      </w:r>
    </w:p>
  </w:footnote>
  <w:footnote w:id="53">
    <w:p w14:paraId="16032C71" w14:textId="7B0151D6" w:rsidR="00A71CC7" w:rsidRPr="00D51F67" w:rsidRDefault="00A71CC7" w:rsidP="0002344A">
      <w:pPr>
        <w:pStyle w:val="Testonotaapidipagina"/>
        <w:ind w:firstLine="454"/>
      </w:pPr>
      <w:r w:rsidRPr="00D51F67">
        <w:rPr>
          <w:rStyle w:val="Rimandonotaapidipagina"/>
        </w:rPr>
        <w:footnoteRef/>
      </w:r>
      <w:r w:rsidRPr="00D51F67">
        <w:t xml:space="preserve"> App. Torino, 23 gennaio 2008, Pres. Troiano, Rel. Patti, cit.</w:t>
      </w:r>
    </w:p>
  </w:footnote>
  <w:footnote w:id="54">
    <w:p w14:paraId="5510E3A2" w14:textId="1DF92331" w:rsidR="00A71CC7" w:rsidRPr="00D51F67" w:rsidRDefault="00A71CC7" w:rsidP="0002344A">
      <w:pPr>
        <w:autoSpaceDE w:val="0"/>
        <w:autoSpaceDN w:val="0"/>
        <w:adjustRightInd w:val="0"/>
        <w:rPr>
          <w:rFonts w:cs="Times New Roman"/>
          <w:sz w:val="20"/>
          <w:szCs w:val="20"/>
        </w:rPr>
      </w:pPr>
      <w:r w:rsidRPr="00D51F67">
        <w:rPr>
          <w:rStyle w:val="Rimandonotaapidipagina"/>
          <w:rFonts w:cs="Times New Roman"/>
          <w:sz w:val="20"/>
          <w:szCs w:val="20"/>
        </w:rPr>
        <w:footnoteRef/>
      </w:r>
      <w:r w:rsidRPr="00D51F67">
        <w:rPr>
          <w:rFonts w:cs="Times New Roman"/>
          <w:sz w:val="20"/>
          <w:szCs w:val="20"/>
        </w:rPr>
        <w:t xml:space="preserve"> Sez. Un. civ. n. 20935, 30 settembre 2009.</w:t>
      </w:r>
    </w:p>
  </w:footnote>
  <w:footnote w:id="55">
    <w:p w14:paraId="7154C486" w14:textId="77777777" w:rsidR="00A71CC7" w:rsidRPr="00D51F67" w:rsidRDefault="00A71CC7" w:rsidP="0002344A">
      <w:pPr>
        <w:autoSpaceDE w:val="0"/>
        <w:autoSpaceDN w:val="0"/>
        <w:adjustRightInd w:val="0"/>
        <w:rPr>
          <w:rFonts w:cs="Times New Roman"/>
          <w:sz w:val="20"/>
          <w:szCs w:val="20"/>
        </w:rPr>
      </w:pPr>
      <w:r w:rsidRPr="00D51F67">
        <w:rPr>
          <w:rStyle w:val="Rimandonotaapidipagina"/>
          <w:rFonts w:cs="Times New Roman"/>
          <w:sz w:val="20"/>
          <w:szCs w:val="20"/>
        </w:rPr>
        <w:footnoteRef/>
      </w:r>
      <w:r w:rsidRPr="00D51F67">
        <w:rPr>
          <w:rFonts w:cs="Times New Roman"/>
          <w:sz w:val="20"/>
          <w:szCs w:val="20"/>
        </w:rPr>
        <w:t xml:space="preserve"> Si riporta il testo di tale comma: </w:t>
      </w:r>
      <w:r w:rsidRPr="00D51F67">
        <w:rPr>
          <w:rFonts w:cs="Times New Roman"/>
          <w:i/>
          <w:sz w:val="20"/>
          <w:szCs w:val="20"/>
        </w:rPr>
        <w:t>«L'imputato prosciolto o condannato con sentenza o decreto penale divenuti irrevocabili non può essere di nuovo sottoposto a procedimento penale per il medesimo fatto, neppure se questo viene diversamente considerato per il titolo, per il grado o per le circostanze, salvo quanto disposto dagli articoli 69 comma 2 e 345»</w:t>
      </w:r>
      <w:r w:rsidRPr="00D51F67">
        <w:rPr>
          <w:rFonts w:cs="Times New Roman"/>
          <w:sz w:val="20"/>
          <w:szCs w:val="20"/>
        </w:rPr>
        <w:t>.</w:t>
      </w:r>
    </w:p>
  </w:footnote>
  <w:footnote w:id="56">
    <w:p w14:paraId="60DF5EC8" w14:textId="419C366E" w:rsidR="00A71CC7" w:rsidRPr="00D51F67" w:rsidRDefault="00A71CC7" w:rsidP="0002344A">
      <w:pPr>
        <w:pStyle w:val="Note"/>
        <w:rPr>
          <w:i/>
        </w:rPr>
      </w:pPr>
      <w:r w:rsidRPr="00D51F67">
        <w:rPr>
          <w:rStyle w:val="Rimandonotaapidipagina"/>
        </w:rPr>
        <w:footnoteRef/>
      </w:r>
      <w:r w:rsidRPr="00D51F67">
        <w:t xml:space="preserve"> Si riporta il testo di tale articolo: </w:t>
      </w:r>
      <w:r w:rsidRPr="00D51F67">
        <w:rPr>
          <w:i/>
        </w:rPr>
        <w:t>«Nessuno potrà essere perseguito o condannato penalmente dalla giurisdizione dello stesso Stato per un’infrazione per cui è già stato scagionato o condannato a seguito di una sentenza definitiva conforme alla legge ed alla procedura penale di tale Stato.</w:t>
      </w:r>
    </w:p>
    <w:p w14:paraId="7F8FB0CF" w14:textId="61399209" w:rsidR="00A71CC7" w:rsidRPr="00D51F67" w:rsidRDefault="00A71CC7" w:rsidP="0002344A">
      <w:pPr>
        <w:autoSpaceDE w:val="0"/>
        <w:autoSpaceDN w:val="0"/>
        <w:adjustRightInd w:val="0"/>
        <w:rPr>
          <w:rFonts w:cs="Times New Roman"/>
          <w:color w:val="141414"/>
          <w:sz w:val="20"/>
          <w:szCs w:val="20"/>
        </w:rPr>
      </w:pPr>
      <w:r w:rsidRPr="00D51F67">
        <w:rPr>
          <w:rFonts w:cs="Times New Roman"/>
          <w:i/>
          <w:color w:val="141414"/>
          <w:sz w:val="20"/>
          <w:szCs w:val="20"/>
        </w:rPr>
        <w:t>Se ciò nonostante viene di nuovo iniziato procedimento penale, il giudice in ogni stato e grado del processo pronuncia sentenza di proscioglimento o di non luogo a procedere, enunciandone la causa nel dispositivo»</w:t>
      </w:r>
      <w:r w:rsidRPr="00D51F67">
        <w:rPr>
          <w:rFonts w:cs="Times New Roman"/>
          <w:color w:val="141414"/>
          <w:sz w:val="20"/>
          <w:szCs w:val="20"/>
        </w:rPr>
        <w:t>.</w:t>
      </w:r>
    </w:p>
  </w:footnote>
  <w:footnote w:id="57">
    <w:p w14:paraId="62C00D38" w14:textId="4D8AEA46" w:rsidR="00A71CC7" w:rsidRPr="00D51F67" w:rsidRDefault="00A71CC7" w:rsidP="0002344A">
      <w:pPr>
        <w:pStyle w:val="Testonotaapidipagina"/>
        <w:ind w:firstLine="454"/>
      </w:pPr>
      <w:r w:rsidRPr="00D51F67">
        <w:rPr>
          <w:rStyle w:val="Rimandonotaapidipagina"/>
        </w:rPr>
        <w:footnoteRef/>
      </w:r>
      <w:r w:rsidRPr="00D51F67">
        <w:t xml:space="preserve"> Trib. Torino, 18 marzo 2011, 46.</w:t>
      </w:r>
    </w:p>
  </w:footnote>
  <w:footnote w:id="58">
    <w:p w14:paraId="153B2C6D" w14:textId="02972E50" w:rsidR="00A71CC7" w:rsidRPr="00D51F67" w:rsidRDefault="00A71CC7" w:rsidP="0002344A">
      <w:pPr>
        <w:autoSpaceDE w:val="0"/>
        <w:autoSpaceDN w:val="0"/>
        <w:adjustRightInd w:val="0"/>
        <w:rPr>
          <w:rFonts w:cs="Times New Roman"/>
          <w:sz w:val="20"/>
          <w:szCs w:val="20"/>
        </w:rPr>
      </w:pPr>
      <w:r w:rsidRPr="00D51F67">
        <w:rPr>
          <w:rStyle w:val="Rimandonotaapidipagina"/>
          <w:rFonts w:cs="Times New Roman"/>
          <w:sz w:val="20"/>
          <w:szCs w:val="20"/>
        </w:rPr>
        <w:footnoteRef/>
      </w:r>
      <w:r w:rsidRPr="00D51F67">
        <w:rPr>
          <w:rFonts w:cs="Times New Roman"/>
          <w:sz w:val="20"/>
          <w:szCs w:val="20"/>
        </w:rPr>
        <w:t xml:space="preserve"> </w:t>
      </w:r>
      <w:r w:rsidRPr="00D51F67">
        <w:rPr>
          <w:rFonts w:cs="Times New Roman"/>
          <w:bCs/>
          <w:sz w:val="20"/>
          <w:szCs w:val="20"/>
        </w:rPr>
        <w:t>Cass. pen., sez. V,</w:t>
      </w:r>
      <w:r w:rsidRPr="00D51F67">
        <w:rPr>
          <w:rFonts w:cs="Times New Roman"/>
          <w:sz w:val="20"/>
          <w:szCs w:val="20"/>
        </w:rPr>
        <w:t xml:space="preserve"> </w:t>
      </w:r>
      <w:r w:rsidRPr="00D51F67">
        <w:rPr>
          <w:rFonts w:cs="Times New Roman"/>
          <w:bCs/>
          <w:sz w:val="20"/>
          <w:szCs w:val="20"/>
        </w:rPr>
        <w:t>15 ottobre 2012, n. 40393, pres.</w:t>
      </w:r>
      <w:r w:rsidRPr="00D51F67">
        <w:rPr>
          <w:rFonts w:cs="Times New Roman"/>
          <w:i/>
          <w:iCs/>
          <w:sz w:val="20"/>
          <w:szCs w:val="20"/>
        </w:rPr>
        <w:t xml:space="preserve"> </w:t>
      </w:r>
      <w:r w:rsidRPr="00D51F67">
        <w:rPr>
          <w:rFonts w:cs="Times New Roman"/>
          <w:iCs/>
          <w:sz w:val="20"/>
          <w:szCs w:val="20"/>
        </w:rPr>
        <w:t xml:space="preserve">Ferrua, rel. Oldi, consultabile in </w:t>
      </w:r>
      <w:r w:rsidRPr="00D51F67">
        <w:rPr>
          <w:rFonts w:cs="Times New Roman"/>
          <w:i/>
          <w:iCs/>
          <w:sz w:val="20"/>
          <w:szCs w:val="20"/>
        </w:rPr>
        <w:t>massimario.it</w:t>
      </w:r>
      <w:r w:rsidRPr="00D51F67">
        <w:rPr>
          <w:rFonts w:cs="Times New Roman"/>
          <w:iCs/>
          <w:sz w:val="20"/>
          <w:szCs w:val="20"/>
        </w:rPr>
        <w:t>, 40/2012.</w:t>
      </w:r>
    </w:p>
  </w:footnote>
  <w:footnote w:id="59">
    <w:p w14:paraId="6ADF2E5C" w14:textId="6DB936EE" w:rsidR="00A71CC7" w:rsidRPr="00D51F67" w:rsidRDefault="00A71CC7" w:rsidP="0002344A">
      <w:pPr>
        <w:pStyle w:val="Testonotaapidipagina"/>
        <w:ind w:firstLine="454"/>
      </w:pPr>
      <w:r w:rsidRPr="00D51F67">
        <w:rPr>
          <w:rStyle w:val="Rimandonotaapidipagina"/>
        </w:rPr>
        <w:footnoteRef/>
      </w:r>
      <w:r w:rsidRPr="00D51F67">
        <w:t xml:space="preserve"> App. Torino, sez. I, 28 febbraio 2013, n. 702, in </w:t>
      </w:r>
      <w:r w:rsidRPr="00D51F67">
        <w:rPr>
          <w:i/>
        </w:rPr>
        <w:t>penalecontemporaneo.it</w:t>
      </w:r>
      <w:r w:rsidRPr="00D51F67">
        <w:t>.</w:t>
      </w:r>
    </w:p>
  </w:footnote>
  <w:footnote w:id="60">
    <w:p w14:paraId="4F64D8B1" w14:textId="372A98E8" w:rsidR="00A71CC7" w:rsidRPr="00D51F67" w:rsidRDefault="00A71CC7" w:rsidP="0002344A">
      <w:pPr>
        <w:pStyle w:val="NormaleWeb"/>
        <w:spacing w:before="0" w:beforeAutospacing="0" w:after="0" w:afterAutospacing="0"/>
        <w:jc w:val="both"/>
        <w:rPr>
          <w:rFonts w:ascii="Times New Roman" w:hAnsi="Times New Roman"/>
        </w:rPr>
      </w:pPr>
      <w:r w:rsidRPr="00D51F67">
        <w:rPr>
          <w:rStyle w:val="Rimandonotaapidipagina"/>
          <w:rFonts w:ascii="Times New Roman" w:hAnsi="Times New Roman"/>
        </w:rPr>
        <w:footnoteRef/>
      </w:r>
      <w:r w:rsidRPr="00D51F67">
        <w:rPr>
          <w:rFonts w:ascii="Times New Roman" w:hAnsi="Times New Roman"/>
        </w:rPr>
        <w:t xml:space="preserve"> Cass. pen., Sez. I, sent. 17 dicembre 2013, dep. 14 maggio 2014, n. 19915, Pres. Cortese, Rel. Vecchio, Imp. Gabetti e a.</w:t>
      </w:r>
    </w:p>
  </w:footnote>
  <w:footnote w:id="61">
    <w:p w14:paraId="5967D611" w14:textId="73907ED6" w:rsidR="00A71CC7" w:rsidRPr="00D51F67" w:rsidRDefault="00A71CC7" w:rsidP="0002344A">
      <w:pPr>
        <w:pStyle w:val="NormaleWeb"/>
        <w:spacing w:before="0" w:beforeAutospacing="0" w:after="0" w:afterAutospacing="0"/>
        <w:jc w:val="both"/>
        <w:rPr>
          <w:rFonts w:ascii="Times New Roman" w:hAnsi="Times New Roman"/>
        </w:rPr>
      </w:pPr>
      <w:r w:rsidRPr="00D51F67">
        <w:rPr>
          <w:rStyle w:val="Rimandonotaapidipagina"/>
          <w:rFonts w:ascii="Times New Roman" w:hAnsi="Times New Roman"/>
        </w:rPr>
        <w:footnoteRef/>
      </w:r>
      <w:r w:rsidRPr="00D51F67">
        <w:rPr>
          <w:rFonts w:ascii="Times New Roman" w:hAnsi="Times New Roman"/>
        </w:rPr>
        <w:t xml:space="preserve"> Corte EDU, Sez. II, sent. 4 marzo 2014, </w:t>
      </w:r>
      <w:r w:rsidRPr="00D51F67">
        <w:rPr>
          <w:rFonts w:ascii="Times New Roman" w:hAnsi="Times New Roman"/>
          <w:i/>
        </w:rPr>
        <w:t>Grande Stevens v. Italia</w:t>
      </w:r>
      <w:r w:rsidRPr="00D51F67">
        <w:rPr>
          <w:rFonts w:ascii="Times New Roman" w:hAnsi="Times New Roman"/>
        </w:rPr>
        <w:t>, cit.</w:t>
      </w:r>
    </w:p>
  </w:footnote>
  <w:footnote w:id="62">
    <w:p w14:paraId="4F6A94FC" w14:textId="65C8D044" w:rsidR="00A71CC7" w:rsidRPr="00D51F67" w:rsidRDefault="00A71CC7" w:rsidP="0002344A">
      <w:pPr>
        <w:pStyle w:val="Testonotaapidipagina"/>
        <w:ind w:firstLine="454"/>
      </w:pPr>
      <w:r w:rsidRPr="00D51F67">
        <w:rPr>
          <w:rStyle w:val="Rimandonotaapidipagina"/>
        </w:rPr>
        <w:footnoteRef/>
      </w:r>
      <w:r w:rsidRPr="00D51F67">
        <w:t xml:space="preserve"> Corte EDU, comunicato stampa n. 203 (2014), 8 luglio 2014.</w:t>
      </w:r>
    </w:p>
  </w:footnote>
  <w:footnote w:id="63">
    <w:p w14:paraId="3B9D5118" w14:textId="0CE92EBF" w:rsidR="00A71CC7" w:rsidRPr="00D51F67" w:rsidRDefault="00A71CC7" w:rsidP="0002344A">
      <w:pPr>
        <w:pStyle w:val="Testonotaapidipagina"/>
        <w:ind w:firstLine="454"/>
      </w:pPr>
      <w:r w:rsidRPr="00D51F67">
        <w:rPr>
          <w:rStyle w:val="Rimandonotaapidipagina"/>
        </w:rPr>
        <w:footnoteRef/>
      </w:r>
      <w:r w:rsidRPr="00D51F67">
        <w:t xml:space="preserve"> Corte EDU, Plenaria, sent. </w:t>
      </w:r>
      <w:r w:rsidRPr="00D51F67">
        <w:rPr>
          <w:bCs/>
        </w:rPr>
        <w:t>8 giugno 1976</w:t>
      </w:r>
      <w:r w:rsidRPr="00D51F67">
        <w:t xml:space="preserve">, </w:t>
      </w:r>
      <w:r w:rsidRPr="00D51F67">
        <w:rPr>
          <w:bCs/>
          <w:i/>
        </w:rPr>
        <w:t>Engel v. The Netherlands</w:t>
      </w:r>
      <w:r w:rsidRPr="00D51F67">
        <w:rPr>
          <w:bCs/>
        </w:rPr>
        <w:t>.</w:t>
      </w:r>
    </w:p>
  </w:footnote>
  <w:footnote w:id="64">
    <w:p w14:paraId="6152E5D0" w14:textId="03679613" w:rsidR="00A71CC7" w:rsidRPr="00D51F67" w:rsidRDefault="00A71CC7" w:rsidP="0002344A">
      <w:pPr>
        <w:pStyle w:val="Testonotaapidipagina"/>
        <w:ind w:firstLine="454"/>
      </w:pPr>
      <w:r w:rsidRPr="00D51F67">
        <w:rPr>
          <w:rStyle w:val="Rimandonotaapidipagina"/>
        </w:rPr>
        <w:footnoteRef/>
      </w:r>
      <w:r w:rsidRPr="00D51F67">
        <w:t xml:space="preserve"> Tale termine è stato utilizzato, da ultimo, da </w:t>
      </w:r>
      <w:r w:rsidRPr="00D51F67">
        <w:rPr>
          <w:smallCaps/>
        </w:rPr>
        <w:t>Pugiotto</w:t>
      </w:r>
      <w:r w:rsidRPr="00D51F67">
        <w:t xml:space="preserve">, </w:t>
      </w:r>
      <w:r w:rsidRPr="00D51F67">
        <w:rPr>
          <w:i/>
        </w:rPr>
        <w:t>Il volto costituzionale della pena (e i suoi sfregi)</w:t>
      </w:r>
      <w:r w:rsidRPr="00D51F67">
        <w:t xml:space="preserve">, in </w:t>
      </w:r>
      <w:r w:rsidRPr="00D51F67">
        <w:rPr>
          <w:i/>
        </w:rPr>
        <w:t>www.rivistaaic.it</w:t>
      </w:r>
      <w:r w:rsidRPr="00D51F67">
        <w:t>, 30 maggio 2014, par. 11.</w:t>
      </w:r>
    </w:p>
  </w:footnote>
  <w:footnote w:id="65">
    <w:p w14:paraId="6CCE0FDE" w14:textId="7E49A942" w:rsidR="00A71CC7" w:rsidRPr="00D51F67" w:rsidRDefault="00A71CC7" w:rsidP="0002344A">
      <w:pPr>
        <w:pStyle w:val="Note"/>
      </w:pPr>
      <w:r w:rsidRPr="00D51F67">
        <w:rPr>
          <w:rStyle w:val="Rimandonotaapidipagina"/>
        </w:rPr>
        <w:footnoteRef/>
      </w:r>
      <w:r w:rsidRPr="00D51F67">
        <w:t xml:space="preserve"> Corte EDU, Sez. II, sent. 4 marzo 2014, </w:t>
      </w:r>
      <w:r w:rsidRPr="00D51F67">
        <w:rPr>
          <w:i/>
        </w:rPr>
        <w:t>Grande Stevens v. Italia</w:t>
      </w:r>
      <w:r w:rsidRPr="00D51F67">
        <w:t>, cit, punto 94.</w:t>
      </w:r>
    </w:p>
  </w:footnote>
  <w:footnote w:id="66">
    <w:p w14:paraId="280447D3" w14:textId="096019BC" w:rsidR="00A71CC7" w:rsidRPr="00D51F67" w:rsidRDefault="00A71CC7" w:rsidP="0002344A">
      <w:pPr>
        <w:pStyle w:val="Note"/>
      </w:pPr>
      <w:r w:rsidRPr="00D51F67">
        <w:rPr>
          <w:rStyle w:val="Rimandonotaapidipagina"/>
        </w:rPr>
        <w:footnoteRef/>
      </w:r>
      <w:r w:rsidRPr="00D51F67">
        <w:t xml:space="preserve"> Oggi tale sanzione è stata portata al limite ancora superiore di 25.000.000 €, il quintuplo rispetto a quello esaminato dalla Corte. </w:t>
      </w:r>
    </w:p>
  </w:footnote>
  <w:footnote w:id="67">
    <w:p w14:paraId="544072A3" w14:textId="76D1D2BC" w:rsidR="00A71CC7" w:rsidRPr="00D51F67" w:rsidRDefault="00A71CC7" w:rsidP="0002344A">
      <w:pPr>
        <w:pStyle w:val="Testonotaapidipagina"/>
        <w:ind w:firstLine="454"/>
      </w:pPr>
      <w:r w:rsidRPr="00D51F67">
        <w:rPr>
          <w:rStyle w:val="Rimandonotaapidipagina"/>
        </w:rPr>
        <w:footnoteRef/>
      </w:r>
      <w:r w:rsidRPr="00D51F67">
        <w:t xml:space="preserve"> Corte EDU, Sez. II, sent. 4 marzo 2014, </w:t>
      </w:r>
      <w:r w:rsidRPr="00D51F67">
        <w:rPr>
          <w:i/>
        </w:rPr>
        <w:t>Grande Stevens v. Italia</w:t>
      </w:r>
      <w:r w:rsidRPr="00D51F67">
        <w:t>, cit, punto 99.</w:t>
      </w:r>
    </w:p>
  </w:footnote>
  <w:footnote w:id="68">
    <w:p w14:paraId="4E92B1E9" w14:textId="5BD06DDA" w:rsidR="00A71CC7" w:rsidRPr="00D51F67" w:rsidRDefault="00A71CC7" w:rsidP="0002344A">
      <w:pPr>
        <w:autoSpaceDE w:val="0"/>
        <w:autoSpaceDN w:val="0"/>
        <w:adjustRightInd w:val="0"/>
        <w:rPr>
          <w:rFonts w:cs="Times New Roman"/>
          <w:sz w:val="20"/>
          <w:szCs w:val="20"/>
        </w:rPr>
      </w:pPr>
      <w:r w:rsidRPr="00D51F67">
        <w:rPr>
          <w:rStyle w:val="Rimandonotaapidipagina"/>
          <w:rFonts w:cs="Times New Roman"/>
          <w:sz w:val="20"/>
          <w:szCs w:val="20"/>
        </w:rPr>
        <w:footnoteRef/>
      </w:r>
      <w:r w:rsidRPr="00D51F67">
        <w:rPr>
          <w:rFonts w:cs="Times New Roman"/>
          <w:sz w:val="20"/>
          <w:szCs w:val="20"/>
        </w:rPr>
        <w:t xml:space="preserve"> Corte EDU, Grande Camera, sent. 10 febbraio 2009, </w:t>
      </w:r>
      <w:r w:rsidRPr="00D51F67">
        <w:rPr>
          <w:rFonts w:cs="Times New Roman"/>
          <w:bCs/>
          <w:i/>
          <w:sz w:val="20"/>
          <w:szCs w:val="20"/>
        </w:rPr>
        <w:t>Zolotukhin v. Russia</w:t>
      </w:r>
      <w:r w:rsidRPr="00D51F67">
        <w:rPr>
          <w:rFonts w:cs="Times New Roman"/>
          <w:sz w:val="20"/>
          <w:szCs w:val="20"/>
        </w:rPr>
        <w:t>, ric. n.</w:t>
      </w:r>
      <w:r w:rsidRPr="00D51F67">
        <w:rPr>
          <w:rFonts w:cs="Times New Roman"/>
          <w:iCs/>
          <w:sz w:val="20"/>
          <w:szCs w:val="20"/>
        </w:rPr>
        <w:t xml:space="preserve"> 14939/03</w:t>
      </w:r>
      <w:r w:rsidRPr="00D51F67">
        <w:rPr>
          <w:rFonts w:cs="Times New Roman"/>
          <w:sz w:val="20"/>
          <w:szCs w:val="20"/>
        </w:rPr>
        <w:t>.</w:t>
      </w:r>
    </w:p>
  </w:footnote>
  <w:footnote w:id="69">
    <w:p w14:paraId="684B97DD" w14:textId="621FF617" w:rsidR="00A71CC7" w:rsidRPr="00D51F67" w:rsidRDefault="00A71CC7" w:rsidP="0002344A">
      <w:pPr>
        <w:pStyle w:val="Default"/>
        <w:widowControl/>
        <w:ind w:firstLine="454"/>
        <w:jc w:val="both"/>
        <w:rPr>
          <w:rFonts w:ascii="Times New Roman" w:hAnsi="Times New Roman" w:cs="Times New Roman"/>
          <w:i/>
          <w:sz w:val="20"/>
          <w:szCs w:val="20"/>
        </w:rPr>
      </w:pPr>
      <w:r w:rsidRPr="00D51F67">
        <w:rPr>
          <w:rStyle w:val="Rimandonotaapidipagina"/>
          <w:rFonts w:ascii="Times New Roman" w:hAnsi="Times New Roman" w:cs="Times New Roman"/>
          <w:color w:val="auto"/>
          <w:sz w:val="20"/>
          <w:szCs w:val="20"/>
        </w:rPr>
        <w:footnoteRef/>
      </w:r>
      <w:r w:rsidRPr="00D51F67">
        <w:rPr>
          <w:rFonts w:ascii="Times New Roman" w:hAnsi="Times New Roman" w:cs="Times New Roman"/>
          <w:color w:val="auto"/>
          <w:sz w:val="20"/>
          <w:szCs w:val="20"/>
        </w:rPr>
        <w:t xml:space="preserve"> </w:t>
      </w:r>
      <w:r w:rsidRPr="00D51F67">
        <w:rPr>
          <w:rFonts w:ascii="Times New Roman" w:hAnsi="Times New Roman" w:cs="Times New Roman"/>
          <w:smallCaps/>
          <w:color w:val="auto"/>
          <w:sz w:val="20"/>
          <w:szCs w:val="20"/>
        </w:rPr>
        <w:t>De Amicis</w:t>
      </w:r>
      <w:r w:rsidRPr="00D51F67">
        <w:rPr>
          <w:rFonts w:ascii="Times New Roman" w:hAnsi="Times New Roman" w:cs="Times New Roman"/>
          <w:color w:val="auto"/>
          <w:sz w:val="20"/>
          <w:szCs w:val="20"/>
        </w:rPr>
        <w:t xml:space="preserve">, </w:t>
      </w:r>
      <w:r w:rsidRPr="00D51F67">
        <w:rPr>
          <w:rFonts w:ascii="Times New Roman" w:hAnsi="Times New Roman" w:cs="Times New Roman"/>
          <w:bCs/>
          <w:i/>
          <w:iCs/>
          <w:color w:val="auto"/>
          <w:sz w:val="20"/>
          <w:szCs w:val="20"/>
        </w:rPr>
        <w:t xml:space="preserve">Ne bis in idem </w:t>
      </w:r>
      <w:r w:rsidRPr="00D51F67">
        <w:rPr>
          <w:rFonts w:ascii="Times New Roman" w:hAnsi="Times New Roman" w:cs="Times New Roman"/>
          <w:bCs/>
          <w:i/>
          <w:color w:val="auto"/>
          <w:sz w:val="20"/>
          <w:szCs w:val="20"/>
        </w:rPr>
        <w:t>e “doppio binario” sanzionatorio: prime riflessioni sugli effetti della sentenza “Grand</w:t>
      </w:r>
      <w:r w:rsidRPr="00D51F67">
        <w:rPr>
          <w:rFonts w:ascii="Times New Roman" w:hAnsi="Times New Roman" w:cs="Times New Roman"/>
          <w:bCs/>
          <w:i/>
          <w:sz w:val="20"/>
          <w:szCs w:val="20"/>
        </w:rPr>
        <w:t>e Stevens” nell’ordinamento italiano</w:t>
      </w:r>
      <w:r w:rsidRPr="00D51F67">
        <w:rPr>
          <w:rFonts w:ascii="Times New Roman" w:hAnsi="Times New Roman" w:cs="Times New Roman"/>
          <w:bCs/>
          <w:sz w:val="20"/>
          <w:szCs w:val="20"/>
        </w:rPr>
        <w:t xml:space="preserve">, 2014, in </w:t>
      </w:r>
      <w:r w:rsidRPr="00D51F67">
        <w:rPr>
          <w:rFonts w:ascii="Times New Roman" w:hAnsi="Times New Roman" w:cs="Times New Roman"/>
          <w:bCs/>
          <w:i/>
          <w:sz w:val="20"/>
          <w:szCs w:val="20"/>
        </w:rPr>
        <w:t>www.penalecontemporaneo.it</w:t>
      </w:r>
    </w:p>
  </w:footnote>
  <w:footnote w:id="70">
    <w:p w14:paraId="18C1C208" w14:textId="739BF1A4" w:rsidR="00A71CC7" w:rsidRPr="00D51F67" w:rsidRDefault="00A71CC7" w:rsidP="0002344A">
      <w:pPr>
        <w:autoSpaceDE w:val="0"/>
        <w:autoSpaceDN w:val="0"/>
        <w:adjustRightInd w:val="0"/>
        <w:rPr>
          <w:rFonts w:cs="Times New Roman"/>
          <w:i/>
          <w:sz w:val="20"/>
          <w:szCs w:val="20"/>
          <w:lang w:val="en-GB"/>
        </w:rPr>
      </w:pPr>
      <w:r w:rsidRPr="00D51F67">
        <w:rPr>
          <w:rStyle w:val="Rimandonotaapidipagina"/>
          <w:rFonts w:cs="Times New Roman"/>
          <w:sz w:val="20"/>
          <w:szCs w:val="20"/>
        </w:rPr>
        <w:footnoteRef/>
      </w:r>
      <w:r w:rsidRPr="00D51F67">
        <w:rPr>
          <w:rFonts w:cs="Times New Roman"/>
          <w:sz w:val="20"/>
          <w:szCs w:val="20"/>
        </w:rPr>
        <w:t xml:space="preserve"> Si riporta un passaggio significativo sul punto in esame di tale sentenza: </w:t>
      </w:r>
      <w:r w:rsidRPr="00D51F67">
        <w:rPr>
          <w:rFonts w:cs="Times New Roman"/>
          <w:i/>
          <w:sz w:val="20"/>
          <w:szCs w:val="20"/>
          <w:lang w:val="en-GB"/>
        </w:rPr>
        <w:t>«</w:t>
      </w:r>
      <w:r w:rsidRPr="00D51F67">
        <w:rPr>
          <w:rFonts w:cs="Times New Roman"/>
          <w:i/>
          <w:color w:val="313131"/>
          <w:sz w:val="20"/>
          <w:szCs w:val="20"/>
          <w:lang w:val="en-GB"/>
        </w:rPr>
        <w:t>82. Accordingly, the Court takes the view that Article 4 of Protocol No. 7 must be understood as prohibiting the prosecution or trial of a second “offence” in so far as it arises from identical facts or facts which are substantially the same</w:t>
      </w:r>
      <w:r w:rsidRPr="00D51F67">
        <w:rPr>
          <w:rFonts w:cs="Times New Roman"/>
          <w:i/>
          <w:sz w:val="20"/>
          <w:szCs w:val="20"/>
          <w:lang w:val="en-GB"/>
        </w:rPr>
        <w:t>»</w:t>
      </w:r>
      <w:r w:rsidRPr="00D51F67">
        <w:rPr>
          <w:rFonts w:cs="Times New Roman"/>
          <w:sz w:val="20"/>
          <w:szCs w:val="20"/>
        </w:rPr>
        <w:t>.</w:t>
      </w:r>
    </w:p>
  </w:footnote>
  <w:footnote w:id="71">
    <w:p w14:paraId="035A595F" w14:textId="21318AF5" w:rsidR="00A71CC7" w:rsidRPr="00D51F67" w:rsidRDefault="00A71CC7" w:rsidP="0002344A">
      <w:pPr>
        <w:pStyle w:val="Default"/>
        <w:widowControl/>
        <w:ind w:firstLine="454"/>
        <w:jc w:val="both"/>
        <w:rPr>
          <w:rFonts w:ascii="Times New Roman" w:hAnsi="Times New Roman" w:cs="Times New Roman"/>
          <w:i/>
          <w:sz w:val="20"/>
          <w:szCs w:val="20"/>
        </w:rPr>
      </w:pPr>
      <w:r w:rsidRPr="00D51F67">
        <w:rPr>
          <w:rStyle w:val="Rimandonotaapidipagina"/>
          <w:rFonts w:ascii="Times New Roman" w:hAnsi="Times New Roman" w:cs="Times New Roman"/>
          <w:sz w:val="20"/>
          <w:szCs w:val="20"/>
        </w:rPr>
        <w:footnoteRef/>
      </w:r>
      <w:r w:rsidRPr="00D51F67">
        <w:rPr>
          <w:rFonts w:ascii="Times New Roman" w:hAnsi="Times New Roman" w:cs="Times New Roman"/>
          <w:sz w:val="20"/>
          <w:szCs w:val="20"/>
        </w:rPr>
        <w:t xml:space="preserve"> Si riportano i punti 220 e 221 della sentenza Grande Stevens in cui la Corte richiama tali criteri: </w:t>
      </w:r>
      <w:r w:rsidRPr="00D51F67">
        <w:rPr>
          <w:rFonts w:ascii="Times New Roman" w:hAnsi="Times New Roman" w:cs="Times New Roman"/>
          <w:i/>
          <w:sz w:val="20"/>
          <w:szCs w:val="20"/>
        </w:rPr>
        <w:t xml:space="preserve">«220. La garanzia sancita all’articolo 4 del Protocollo n. 7 entra in gioco quando viene avviato un nuovo procedimento e la precedente decisione di assoluzione o di condanna è già passata in giudicato. In questa fase, gli elementi del fascicolo comprenderanno ovviamente la decisione con la quale si è concluso il primo “procedimento penale” e la lista delle accuse mosse nei confronti del ricorrente nell’ambito del nuovo procedimento. Tali documenti includono ovviamente un’esposizione dei fatti relativi all’illecito per cui il ricorrente è stato già giudicato e una descrizione del secondo illecito di cui è accusato. […] L’articolo 4 del Protocollo n. 7 enuncia una garanzia contro nuove azioni penali o contro il rischio di tali azioni, e non il divieto di una seconda condanna o di una seconda assoluzione […]. </w:t>
      </w:r>
    </w:p>
    <w:p w14:paraId="3C235386" w14:textId="77777777" w:rsidR="00A71CC7" w:rsidRPr="00D51F67" w:rsidRDefault="00A71CC7" w:rsidP="0002344A">
      <w:pPr>
        <w:pStyle w:val="Testonotaapidipagina"/>
        <w:ind w:firstLine="454"/>
      </w:pPr>
      <w:r w:rsidRPr="00D51F67">
        <w:rPr>
          <w:i/>
          <w:color w:val="000000"/>
        </w:rPr>
        <w:t>221. La Corte, pertanto, deve esaminare la causa dal punto di vista dei fatti descritti nelle suddette esposizioni, che costituiscono un insieme di circostanze fattuali concrete a carico dello stesso contravventore e indissolubilmente legate tra loro nel tempo e nello spazio; l’esistenza di tali circostanze deve essere dimostrata affinché possa essere pronunciata una condanna o esercitata l’azione penale»</w:t>
      </w:r>
      <w:r w:rsidRPr="00D51F67">
        <w:rPr>
          <w:color w:val="000000"/>
        </w:rPr>
        <w:t>.</w:t>
      </w:r>
    </w:p>
  </w:footnote>
  <w:footnote w:id="72">
    <w:p w14:paraId="333DA4B9" w14:textId="121EF44C" w:rsidR="00A71CC7" w:rsidRPr="00D51F67" w:rsidRDefault="00A71CC7" w:rsidP="0002344A">
      <w:pPr>
        <w:pStyle w:val="Testonotaapidipagina"/>
        <w:ind w:firstLine="454"/>
      </w:pPr>
      <w:r w:rsidRPr="00D51F67">
        <w:rPr>
          <w:rStyle w:val="Rimandonotaapidipagina"/>
        </w:rPr>
        <w:footnoteRef/>
      </w:r>
      <w:r w:rsidRPr="00D51F67">
        <w:t xml:space="preserve"> Corte EDU, Sez. II, sent. 4 marzo 2014, </w:t>
      </w:r>
      <w:r w:rsidRPr="00D51F67">
        <w:rPr>
          <w:i/>
        </w:rPr>
        <w:t>Grande Stevens v. Italia</w:t>
      </w:r>
      <w:r w:rsidRPr="00D51F67">
        <w:t>, cit, punto 227.</w:t>
      </w:r>
    </w:p>
  </w:footnote>
  <w:footnote w:id="73">
    <w:p w14:paraId="42A02D4D" w14:textId="11963458" w:rsidR="00A71CC7" w:rsidRPr="00D51F67" w:rsidRDefault="00A71CC7" w:rsidP="0002344A">
      <w:pPr>
        <w:pStyle w:val="NormaleWeb"/>
        <w:spacing w:before="0" w:beforeAutospacing="0" w:after="0" w:afterAutospacing="0"/>
        <w:jc w:val="both"/>
        <w:rPr>
          <w:rFonts w:ascii="Times New Roman" w:hAnsi="Times New Roman"/>
          <w:lang w:val="it-IT"/>
        </w:rPr>
      </w:pPr>
      <w:r w:rsidRPr="00D51F67">
        <w:rPr>
          <w:rStyle w:val="Rimandonotaapidipagina"/>
          <w:rFonts w:ascii="Times New Roman" w:hAnsi="Times New Roman"/>
          <w:lang w:val="it-IT"/>
        </w:rPr>
        <w:footnoteRef/>
      </w:r>
      <w:r w:rsidRPr="00D51F67">
        <w:rPr>
          <w:rFonts w:ascii="Times New Roman" w:hAnsi="Times New Roman"/>
          <w:lang w:val="it-IT"/>
        </w:rPr>
        <w:t xml:space="preserve"> App. Torino, 23 gennaio 2008, Pres. Troiano, Rel. Patti, cit., secondo cui </w:t>
      </w:r>
      <w:r w:rsidRPr="00D51F67">
        <w:rPr>
          <w:rFonts w:ascii="Times New Roman" w:hAnsi="Times New Roman"/>
          <w:i/>
          <w:lang w:val="it-IT"/>
        </w:rPr>
        <w:t>«A fronte della pendenza di due procedimenti, uno penale, l'altro amministrativo, vi è dunque uno stesso fatto storico, descritto in maniera differente solo in ragione delle diversamente graduate situazioni di pericolo che possono originarsene […]. Dunque le due norme, che presentano la medesima rubrica, considerano una stessa condotta e tutelando il medesimo bene giuridico perseguono un'unica finalità, vale a dire evitare manipolazioni del mercato»</w:t>
      </w:r>
      <w:r w:rsidRPr="00D51F67">
        <w:rPr>
          <w:rFonts w:ascii="Times New Roman" w:hAnsi="Times New Roman"/>
          <w:lang w:val="it-IT"/>
        </w:rPr>
        <w:t>.</w:t>
      </w:r>
    </w:p>
  </w:footnote>
  <w:footnote w:id="74">
    <w:p w14:paraId="7E20A739" w14:textId="77777777" w:rsidR="00A71CC7" w:rsidRPr="00D51F67" w:rsidRDefault="00A71CC7" w:rsidP="0002344A">
      <w:pPr>
        <w:pStyle w:val="Testonotaapidipagina"/>
        <w:ind w:firstLine="454"/>
      </w:pPr>
      <w:r w:rsidRPr="00D51F67">
        <w:rPr>
          <w:rStyle w:val="Rimandonotaapidipagina"/>
        </w:rPr>
        <w:footnoteRef/>
      </w:r>
      <w:r w:rsidRPr="00D51F67">
        <w:t xml:space="preserve"> Corte cost., 18 luglio 2013, n. 210.</w:t>
      </w:r>
    </w:p>
  </w:footnote>
  <w:footnote w:id="75">
    <w:p w14:paraId="488594E4" w14:textId="4134AAE1" w:rsidR="00A71CC7" w:rsidRPr="00D51F67" w:rsidRDefault="00A71CC7" w:rsidP="0002344A">
      <w:pPr>
        <w:pStyle w:val="Testonotaapidipagina"/>
        <w:ind w:firstLine="454"/>
      </w:pPr>
      <w:r w:rsidRPr="00D51F67">
        <w:rPr>
          <w:rStyle w:val="Rimandonotaapidipagina"/>
        </w:rPr>
        <w:footnoteRef/>
      </w:r>
      <w:r w:rsidRPr="00D51F67">
        <w:t xml:space="preserve"> Corte cost., 24 ottobre 2007, n. 348.</w:t>
      </w:r>
    </w:p>
  </w:footnote>
  <w:footnote w:id="76">
    <w:p w14:paraId="2FE4FD4D" w14:textId="1E769F85" w:rsidR="00A71CC7" w:rsidRPr="00D51F67" w:rsidRDefault="00A71CC7" w:rsidP="0002344A">
      <w:pPr>
        <w:pStyle w:val="Testonotaapidipagina"/>
        <w:ind w:firstLine="454"/>
      </w:pPr>
      <w:r w:rsidRPr="00D51F67">
        <w:rPr>
          <w:rStyle w:val="Rimandonotaapidipagina"/>
        </w:rPr>
        <w:footnoteRef/>
      </w:r>
      <w:r w:rsidRPr="00D51F67">
        <w:t xml:space="preserve"> Corte cost., 24 ottobre 2007, n. 349.</w:t>
      </w:r>
    </w:p>
  </w:footnote>
  <w:footnote w:id="77">
    <w:p w14:paraId="11C5E1DE" w14:textId="2549EF15" w:rsidR="00A71CC7" w:rsidRPr="00D51F67" w:rsidRDefault="00A71CC7" w:rsidP="0002344A">
      <w:pPr>
        <w:pStyle w:val="Testonotaapidipagina"/>
        <w:ind w:firstLine="454"/>
      </w:pPr>
      <w:r w:rsidRPr="00D51F67">
        <w:rPr>
          <w:rStyle w:val="Rimandonotaapidipagina"/>
        </w:rPr>
        <w:footnoteRef/>
      </w:r>
      <w:r w:rsidRPr="00D51F67">
        <w:t xml:space="preserve"> Cass. pen., Sez. I, sent. 17 dicembre 2013, dep. 14 maggio 2014, n. 19915, cit.</w:t>
      </w:r>
    </w:p>
  </w:footnote>
  <w:footnote w:id="78">
    <w:p w14:paraId="6D0CCC95" w14:textId="20A1BC46"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Tripodi</w:t>
      </w:r>
      <w:r w:rsidRPr="00D51F67">
        <w:t xml:space="preserve">, </w:t>
      </w:r>
      <w:r w:rsidRPr="00D51F67">
        <w:rPr>
          <w:i/>
        </w:rPr>
        <w:t>Uno più uno (a Strasburgo) fa due. L'Italia condannata per violazione del ne bis in idem in tema di manipolazione del mercato</w:t>
      </w:r>
      <w:r w:rsidRPr="00D51F67">
        <w:t xml:space="preserve">, in </w:t>
      </w:r>
      <w:r w:rsidRPr="00D51F67">
        <w:rPr>
          <w:i/>
          <w:iCs/>
        </w:rPr>
        <w:t>Diritto Penale Contemporaneo</w:t>
      </w:r>
      <w:r w:rsidRPr="00D51F67">
        <w:t>, 9 marzo 2014, par. 6.</w:t>
      </w:r>
    </w:p>
  </w:footnote>
  <w:footnote w:id="79">
    <w:p w14:paraId="76A87C17" w14:textId="07FF94E2"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Tripodi</w:t>
      </w:r>
      <w:r w:rsidRPr="00D51F67">
        <w:t xml:space="preserve">, </w:t>
      </w:r>
      <w:r w:rsidRPr="00D51F67">
        <w:rPr>
          <w:i/>
        </w:rPr>
        <w:t>Uno più uno (a Strasburgo) fa due. L'Italia condannata per violazione del ne bis in idem in tema di manipolazione del mercato</w:t>
      </w:r>
      <w:r w:rsidRPr="00D51F67">
        <w:t xml:space="preserve">, in </w:t>
      </w:r>
      <w:r w:rsidRPr="00D51F67">
        <w:rPr>
          <w:i/>
          <w:iCs/>
        </w:rPr>
        <w:t>Diritto Penale Contemporaneo</w:t>
      </w:r>
      <w:r w:rsidRPr="00D51F67">
        <w:t>, 9 marzo 2014, par. 6.</w:t>
      </w:r>
    </w:p>
  </w:footnote>
  <w:footnote w:id="80">
    <w:p w14:paraId="62ABBC39" w14:textId="59D9F1D4" w:rsidR="00A71CC7" w:rsidRPr="00D51F67" w:rsidRDefault="00A71CC7" w:rsidP="0002344A">
      <w:pPr>
        <w:pStyle w:val="Testonotaapidipagina"/>
        <w:ind w:firstLine="454"/>
      </w:pPr>
      <w:r w:rsidRPr="00D51F67">
        <w:rPr>
          <w:rStyle w:val="Rimandonotaapidipagina"/>
        </w:rPr>
        <w:footnoteRef/>
      </w:r>
      <w:r w:rsidRPr="00D51F67">
        <w:t xml:space="preserve"> Vedi </w:t>
      </w:r>
      <w:r w:rsidRPr="00D51F67">
        <w:rPr>
          <w:i/>
        </w:rPr>
        <w:t>supra</w:t>
      </w:r>
      <w:r w:rsidRPr="00D51F67">
        <w:t>.</w:t>
      </w:r>
    </w:p>
  </w:footnote>
  <w:footnote w:id="81">
    <w:p w14:paraId="3547BDA0" w14:textId="1A82ECAD" w:rsidR="00A71CC7" w:rsidRPr="00D51F67" w:rsidRDefault="00A71CC7" w:rsidP="0002344A">
      <w:pPr>
        <w:pStyle w:val="Testonotaapidipagina"/>
        <w:ind w:firstLine="454"/>
        <w:rPr>
          <w:bCs/>
          <w:color w:val="343434"/>
        </w:rPr>
      </w:pPr>
      <w:r w:rsidRPr="00D51F67">
        <w:rPr>
          <w:rStyle w:val="Rimandonotaapidipagina"/>
        </w:rPr>
        <w:footnoteRef/>
      </w:r>
      <w:r w:rsidRPr="00D51F67">
        <w:t xml:space="preserve"> </w:t>
      </w:r>
      <w:r w:rsidRPr="00D51F67">
        <w:rPr>
          <w:bCs/>
          <w:color w:val="343434"/>
        </w:rPr>
        <w:t xml:space="preserve">Cass. pen., SS.UU., sentenza 28 giugno 2005, n. 34655, in </w:t>
      </w:r>
      <w:r w:rsidRPr="00D51F67">
        <w:rPr>
          <w:bCs/>
          <w:i/>
          <w:color w:val="343434"/>
        </w:rPr>
        <w:t>www.altalex.it</w:t>
      </w:r>
      <w:r w:rsidRPr="00D51F67">
        <w:rPr>
          <w:bCs/>
          <w:color w:val="343434"/>
        </w:rPr>
        <w:t>,</w:t>
      </w:r>
      <w:r w:rsidRPr="00D51F67">
        <w:rPr>
          <w:bCs/>
          <w:i/>
          <w:color w:val="343434"/>
        </w:rPr>
        <w:t xml:space="preserve"> </w:t>
      </w:r>
      <w:r w:rsidRPr="00D51F67">
        <w:rPr>
          <w:bCs/>
          <w:color w:val="343434"/>
        </w:rPr>
        <w:t xml:space="preserve">che ha enucleato il principio di diritto che recita che </w:t>
      </w:r>
      <w:r w:rsidRPr="00D51F67">
        <w:rPr>
          <w:bCs/>
          <w:i/>
          <w:color w:val="343434"/>
        </w:rPr>
        <w:t>«</w:t>
      </w:r>
      <w:r w:rsidRPr="00D51F67">
        <w:rPr>
          <w:i/>
          <w:color w:val="434343"/>
        </w:rPr>
        <w:t xml:space="preserve">le situazioni di litispendenza, non riconducibili nell’ambito dei conflitti di competenza di cui all’art. 28 c.p.p., devono essere risolte dichiarando nel secondo processo, pur in mancanza di una sentenza irrevocabile, l’impromovibilità dell’azione penale in applicazione della preclusione fondata sul principio generale del ne bis in idem, sempreché i due processi abbiano ad oggetto il medesimo fatto </w:t>
      </w:r>
      <w:r w:rsidRPr="00D51F67">
        <w:rPr>
          <w:i/>
        </w:rPr>
        <w:t>attribuito</w:t>
      </w:r>
      <w:r w:rsidRPr="00D51F67">
        <w:rPr>
          <w:i/>
          <w:color w:val="434343"/>
        </w:rPr>
        <w:t xml:space="preserve"> alla stessa persona, siano stati instaurati ad iniziativa dello stesso ufficio del pubblico ministero e siano devoluti, anche se in fasi o in gradi diversi, alla cognizione di giudici della stessa sede giudiziaria</w:t>
      </w:r>
      <w:r w:rsidRPr="00D51F67">
        <w:rPr>
          <w:bCs/>
          <w:i/>
          <w:color w:val="343434"/>
        </w:rPr>
        <w:t>»</w:t>
      </w:r>
      <w:r w:rsidRPr="00D51F67">
        <w:rPr>
          <w:bCs/>
          <w:color w:val="343434"/>
        </w:rPr>
        <w:t>.</w:t>
      </w:r>
    </w:p>
    <w:p w14:paraId="001AD250" w14:textId="66A5C3F1" w:rsidR="00A71CC7" w:rsidRPr="00D51F67" w:rsidRDefault="00A71CC7" w:rsidP="0002344A">
      <w:pPr>
        <w:pStyle w:val="Testonotaapidipagina"/>
        <w:ind w:firstLine="454"/>
        <w:rPr>
          <w:bCs/>
          <w:color w:val="343434"/>
        </w:rPr>
      </w:pPr>
      <w:r w:rsidRPr="00D51F67">
        <w:rPr>
          <w:bCs/>
          <w:color w:val="343434"/>
        </w:rPr>
        <w:t xml:space="preserve">In tale occasione, le Sezioni Unite hanno chiarito che </w:t>
      </w:r>
      <w:r w:rsidRPr="00D51F67">
        <w:rPr>
          <w:bCs/>
          <w:i/>
          <w:color w:val="343434"/>
        </w:rPr>
        <w:t>«</w:t>
      </w:r>
      <w:r w:rsidRPr="00D51F67">
        <w:rPr>
          <w:i/>
          <w:color w:val="434343"/>
        </w:rPr>
        <w:t>al di fuori dell’area del diritto penale sostanziale per il quale vigono il principio costituzionale di stretta legalità e la riserva assoluta di legge (art. 25, comma 2, Cost.), la mancanza di una esplicita disposizione non può fare considerare esaurito il compito dell’interprete, il quale […] ha il dovere di sperimentare tutti gli altri strumenti ermeneutici dei quali dispone</w:t>
      </w:r>
      <w:r w:rsidRPr="00D51F67">
        <w:rPr>
          <w:bCs/>
          <w:i/>
          <w:color w:val="343434"/>
        </w:rPr>
        <w:t>»</w:t>
      </w:r>
      <w:r w:rsidRPr="00D51F67">
        <w:rPr>
          <w:bCs/>
          <w:color w:val="343434"/>
        </w:rPr>
        <w:t xml:space="preserve"> tra i quali le Sezioni Unite citano l’analogia.</w:t>
      </w:r>
    </w:p>
    <w:p w14:paraId="302BB9D6" w14:textId="005AEE17" w:rsidR="00A71CC7" w:rsidRPr="00D51F67" w:rsidRDefault="00A71CC7" w:rsidP="0002344A">
      <w:pPr>
        <w:pStyle w:val="Testonotaapidipagina"/>
        <w:ind w:firstLine="454"/>
      </w:pPr>
      <w:r w:rsidRPr="00D51F67">
        <w:rPr>
          <w:bCs/>
          <w:color w:val="343434"/>
        </w:rPr>
        <w:t>Conseguentemente, le Sezioni Unite hanno dichiarato che tale lettura estensiva del principio in esame data dalla giurisprudenza</w:t>
      </w:r>
      <w:r w:rsidRPr="00D51F67">
        <w:rPr>
          <w:color w:val="434343"/>
        </w:rPr>
        <w:t xml:space="preserve"> </w:t>
      </w:r>
      <w:r w:rsidRPr="00D51F67">
        <w:rPr>
          <w:i/>
          <w:color w:val="434343"/>
        </w:rPr>
        <w:t>«è stata giustificata non attraverso l’applicazione diretta della predetta disposizione, la cui configurazione normativa risulta tracciata in confini ben precisi e delimitati, ma facendo leva, invece, su un principio che la trascende ed è collocato a monte della stessa, corrispondendo l’art. 649 ad una delle plurime specificazioni di una direttiva generale alla quale è conformato tutto il sistema processuale»</w:t>
      </w:r>
      <w:r w:rsidRPr="00D51F67">
        <w:rPr>
          <w:color w:val="434343"/>
        </w:rPr>
        <w:t>.</w:t>
      </w:r>
    </w:p>
  </w:footnote>
  <w:footnote w:id="82">
    <w:p w14:paraId="4DAF6E09" w14:textId="3BB0527D"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Viganò</w:t>
      </w:r>
      <w:r w:rsidRPr="00D51F67">
        <w:t xml:space="preserve">, </w:t>
      </w:r>
      <w:r w:rsidRPr="00D51F67">
        <w:rPr>
          <w:i/>
        </w:rPr>
        <w:t>Doppio binario sanzionatorio e ne bis in idem: verso una diretta applicazione dell’art. 50 della Carta?</w:t>
      </w:r>
      <w:r w:rsidRPr="00D51F67">
        <w:t xml:space="preserve">, in </w:t>
      </w:r>
      <w:r w:rsidRPr="00D51F67">
        <w:rPr>
          <w:i/>
          <w:iCs/>
        </w:rPr>
        <w:t>Diritto Penale Contemporaneo</w:t>
      </w:r>
      <w:r w:rsidRPr="00D51F67">
        <w:t>, 30 giugno 2014, par. 3.2.</w:t>
      </w:r>
    </w:p>
  </w:footnote>
  <w:footnote w:id="83">
    <w:p w14:paraId="7B2FC7BF" w14:textId="5CE6C776" w:rsidR="00A71CC7" w:rsidRPr="00D51F67" w:rsidRDefault="00A71CC7" w:rsidP="0002344A">
      <w:pPr>
        <w:pStyle w:val="NormaleWeb"/>
        <w:spacing w:before="0" w:beforeAutospacing="0" w:after="0" w:afterAutospacing="0"/>
        <w:jc w:val="both"/>
        <w:rPr>
          <w:rFonts w:ascii="Times New Roman" w:hAnsi="Times New Roman"/>
          <w:lang w:val="it-IT"/>
        </w:rPr>
      </w:pPr>
      <w:r w:rsidRPr="00D51F67">
        <w:rPr>
          <w:rStyle w:val="Rimandonotaapidipagina"/>
          <w:rFonts w:ascii="Times New Roman" w:hAnsi="Times New Roman"/>
        </w:rPr>
        <w:footnoteRef/>
      </w:r>
      <w:r w:rsidRPr="00D51F67">
        <w:rPr>
          <w:rFonts w:ascii="Times New Roman" w:hAnsi="Times New Roman"/>
        </w:rPr>
        <w:t xml:space="preserve"> </w:t>
      </w:r>
      <w:r w:rsidRPr="00D51F67">
        <w:rPr>
          <w:rFonts w:ascii="Times New Roman" w:hAnsi="Times New Roman"/>
          <w:smallCaps/>
          <w:lang w:val="it-IT"/>
        </w:rPr>
        <w:t>Flick–Napoleoni</w:t>
      </w:r>
      <w:r w:rsidRPr="00D51F67">
        <w:rPr>
          <w:rFonts w:ascii="Times New Roman" w:hAnsi="Times New Roman"/>
          <w:lang w:val="it-IT"/>
        </w:rPr>
        <w:t xml:space="preserve">, </w:t>
      </w:r>
      <w:r w:rsidRPr="00D51F67">
        <w:rPr>
          <w:rFonts w:ascii="Times New Roman" w:hAnsi="Times New Roman"/>
          <w:i/>
          <w:lang w:val="it-IT"/>
        </w:rPr>
        <w:t>“Materia penale”, giusto processo e ne bis in idem nella sentenza della Corte EDU, 4 marzo 2014, sul market abuse</w:t>
      </w:r>
      <w:r w:rsidRPr="00D51F67">
        <w:rPr>
          <w:rFonts w:ascii="Times New Roman" w:hAnsi="Times New Roman"/>
          <w:lang w:val="it-IT"/>
        </w:rPr>
        <w:t xml:space="preserve">, in </w:t>
      </w:r>
      <w:r w:rsidRPr="00D51F67">
        <w:rPr>
          <w:rFonts w:ascii="Times New Roman" w:hAnsi="Times New Roman"/>
          <w:i/>
          <w:lang w:val="it-IT"/>
        </w:rPr>
        <w:t>www.abi.it</w:t>
      </w:r>
      <w:r w:rsidRPr="00D51F67">
        <w:rPr>
          <w:rFonts w:ascii="Times New Roman" w:hAnsi="Times New Roman"/>
          <w:lang w:val="it-IT"/>
        </w:rPr>
        <w:t>, 4 giugno 2014, par. 7.</w:t>
      </w:r>
    </w:p>
  </w:footnote>
  <w:footnote w:id="84">
    <w:p w14:paraId="2384111C" w14:textId="307D880E" w:rsidR="00A71CC7" w:rsidRPr="00D51F67" w:rsidRDefault="00A71CC7" w:rsidP="0002344A">
      <w:pPr>
        <w:pStyle w:val="Testonotaapidipagina"/>
        <w:ind w:firstLine="454"/>
      </w:pPr>
      <w:r w:rsidRPr="00D51F67">
        <w:rPr>
          <w:rStyle w:val="Rimandonotaapidipagina"/>
        </w:rPr>
        <w:footnoteRef/>
      </w:r>
      <w:r w:rsidRPr="00D51F67">
        <w:t xml:space="preserve"> Vedi </w:t>
      </w:r>
      <w:r w:rsidRPr="00D51F67">
        <w:rPr>
          <w:i/>
        </w:rPr>
        <w:t>supra</w:t>
      </w:r>
      <w:r w:rsidRPr="00D51F67">
        <w:t>.</w:t>
      </w:r>
    </w:p>
  </w:footnote>
  <w:footnote w:id="85">
    <w:p w14:paraId="7F867F42" w14:textId="06EB0CF2" w:rsidR="00A71CC7" w:rsidRPr="00D51F67" w:rsidRDefault="00A71CC7" w:rsidP="0002344A">
      <w:pPr>
        <w:pStyle w:val="NormaleWeb"/>
        <w:spacing w:before="0" w:beforeAutospacing="0" w:after="0" w:afterAutospacing="0"/>
        <w:jc w:val="both"/>
        <w:rPr>
          <w:rFonts w:ascii="Times New Roman" w:hAnsi="Times New Roman"/>
          <w:i/>
          <w:lang w:val="it-IT"/>
        </w:rPr>
      </w:pPr>
      <w:r w:rsidRPr="00D51F67">
        <w:rPr>
          <w:rStyle w:val="Rimandonotaapidipagina"/>
          <w:rFonts w:ascii="Times New Roman" w:hAnsi="Times New Roman"/>
          <w:lang w:val="it-IT"/>
        </w:rPr>
        <w:footnoteRef/>
      </w:r>
      <w:r w:rsidRPr="00D51F67">
        <w:rPr>
          <w:rFonts w:ascii="Times New Roman" w:hAnsi="Times New Roman"/>
          <w:lang w:val="it-IT"/>
        </w:rPr>
        <w:t xml:space="preserve"> Si riporta la parte di tale articolo che sembra rilevante ai fini dell’interpretazione della normativa italiana: </w:t>
      </w:r>
      <w:r w:rsidRPr="00D51F67">
        <w:rPr>
          <w:rFonts w:ascii="Times New Roman" w:hAnsi="Times New Roman"/>
          <w:i/>
          <w:lang w:val="it-IT"/>
        </w:rPr>
        <w:t xml:space="preserve">«1. L'Unione riconosce i diritti, le libertà e i principi sanciti nella Carta dei diritti fondamentali dell'Unione europea del 7 dicembre 2000, adattata il 12 dicembre 2007 a Strasburgo, che ha lo stesso valore giuridico dei trattati. </w:t>
      </w:r>
    </w:p>
    <w:p w14:paraId="025C5E8F" w14:textId="26B1CE96" w:rsidR="00A71CC7" w:rsidRPr="00D51F67" w:rsidRDefault="00A71CC7" w:rsidP="0002344A">
      <w:pPr>
        <w:rPr>
          <w:rFonts w:cs="Times New Roman"/>
          <w:i/>
          <w:sz w:val="20"/>
          <w:szCs w:val="20"/>
        </w:rPr>
      </w:pPr>
      <w:r w:rsidRPr="00D51F67">
        <w:rPr>
          <w:rFonts w:cs="Times New Roman"/>
          <w:i/>
          <w:sz w:val="20"/>
          <w:szCs w:val="20"/>
        </w:rPr>
        <w:t xml:space="preserve">Le disposizioni della Carta non estendono in alcun modo le competenze dell'Unione definite nei trattati. </w:t>
      </w:r>
    </w:p>
    <w:p w14:paraId="25D0EF06" w14:textId="236175DC" w:rsidR="00A71CC7" w:rsidRPr="00D51F67" w:rsidRDefault="00A71CC7" w:rsidP="0002344A">
      <w:pPr>
        <w:pStyle w:val="NormaleWeb"/>
        <w:spacing w:before="0" w:beforeAutospacing="0" w:after="0" w:afterAutospacing="0"/>
        <w:jc w:val="both"/>
        <w:rPr>
          <w:rFonts w:ascii="Times New Roman" w:hAnsi="Times New Roman"/>
          <w:i/>
          <w:lang w:val="it-IT"/>
        </w:rPr>
      </w:pPr>
      <w:r w:rsidRPr="00D51F67">
        <w:rPr>
          <w:rFonts w:ascii="Times New Roman" w:hAnsi="Times New Roman"/>
          <w:i/>
          <w:lang w:val="it-IT"/>
        </w:rPr>
        <w:t xml:space="preserve">2. L'Unione aderisce alla Convenzione europea per la salvaguardia dei diritti dell'uomo e delle libertà fondamentali. [...] </w:t>
      </w:r>
    </w:p>
    <w:p w14:paraId="23862D7C" w14:textId="75CEF66C" w:rsidR="00A71CC7" w:rsidRPr="00D51F67" w:rsidRDefault="00A71CC7" w:rsidP="0002344A">
      <w:pPr>
        <w:pStyle w:val="NormaleWeb"/>
        <w:spacing w:before="0" w:beforeAutospacing="0" w:after="0" w:afterAutospacing="0"/>
        <w:jc w:val="both"/>
        <w:rPr>
          <w:rFonts w:ascii="Times New Roman" w:hAnsi="Times New Roman"/>
        </w:rPr>
      </w:pPr>
      <w:r w:rsidRPr="00D51F67">
        <w:rPr>
          <w:rFonts w:ascii="Times New Roman" w:hAnsi="Times New Roman"/>
          <w:i/>
          <w:lang w:val="it-IT"/>
        </w:rPr>
        <w:t>3. I diritti fondamentali, garantiti dalla Convenzione europea per la salvaguardia dei diritti del</w:t>
      </w:r>
      <w:r w:rsidRPr="00D51F67">
        <w:rPr>
          <w:rFonts w:ascii="Times New Roman" w:hAnsi="Times New Roman"/>
          <w:i/>
          <w:lang w:val="it-IT"/>
        </w:rPr>
        <w:softHyphen/>
        <w:t xml:space="preserve"> l'uomo e delle libertà fondamentali e risultanti dalle tradizioni costituzionali comuni agli Stati membri, fanno parte del diritto dell'Unione in quanto principi generali»</w:t>
      </w:r>
      <w:r w:rsidRPr="00D51F67">
        <w:rPr>
          <w:rFonts w:ascii="Times New Roman" w:hAnsi="Times New Roman"/>
          <w:lang w:val="it-IT"/>
        </w:rPr>
        <w:t>.</w:t>
      </w:r>
    </w:p>
  </w:footnote>
  <w:footnote w:id="86">
    <w:p w14:paraId="75BDDB4D" w14:textId="1E77A2BD"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Viganò</w:t>
      </w:r>
      <w:r w:rsidRPr="00D51F67">
        <w:t xml:space="preserve">, </w:t>
      </w:r>
      <w:r w:rsidRPr="00D51F67">
        <w:rPr>
          <w:i/>
        </w:rPr>
        <w:t>Doppio binario sanzionatorio e ne bis in idem: verso una diretta applicazione dell’art. 50 della Carta?</w:t>
      </w:r>
      <w:r w:rsidRPr="00D51F67">
        <w:t xml:space="preserve">, in </w:t>
      </w:r>
      <w:r w:rsidRPr="00D51F67">
        <w:rPr>
          <w:i/>
          <w:iCs/>
        </w:rPr>
        <w:t>Diritto Penale Contemporaneo</w:t>
      </w:r>
      <w:r w:rsidRPr="00D51F67">
        <w:t>, 30 giugno 2014, par. 4.</w:t>
      </w:r>
    </w:p>
  </w:footnote>
  <w:footnote w:id="87">
    <w:p w14:paraId="7CDEE98A" w14:textId="77777777" w:rsidR="00A71CC7" w:rsidRPr="00D51F67" w:rsidRDefault="00A71CC7" w:rsidP="0002344A">
      <w:pPr>
        <w:autoSpaceDE w:val="0"/>
        <w:autoSpaceDN w:val="0"/>
        <w:adjustRightInd w:val="0"/>
        <w:rPr>
          <w:rFonts w:cs="Times New Roman"/>
          <w:sz w:val="20"/>
          <w:szCs w:val="20"/>
        </w:rPr>
      </w:pPr>
      <w:r w:rsidRPr="00D51F67">
        <w:rPr>
          <w:rStyle w:val="Rimandonotaapidipagina"/>
          <w:rFonts w:cs="Times New Roman"/>
          <w:sz w:val="20"/>
          <w:szCs w:val="20"/>
        </w:rPr>
        <w:footnoteRef/>
      </w:r>
      <w:r w:rsidRPr="00D51F67">
        <w:rPr>
          <w:rFonts w:cs="Times New Roman"/>
          <w:sz w:val="20"/>
          <w:szCs w:val="20"/>
        </w:rPr>
        <w:t xml:space="preserve"> CGUE, </w:t>
      </w:r>
      <w:r w:rsidRPr="00D51F67">
        <w:rPr>
          <w:rFonts w:cs="Times New Roman"/>
          <w:iCs/>
          <w:sz w:val="20"/>
          <w:szCs w:val="20"/>
        </w:rPr>
        <w:t>9 marzo 1978, Causa C-106/77,</w:t>
      </w:r>
      <w:r w:rsidRPr="00D51F67">
        <w:rPr>
          <w:rFonts w:cs="Times New Roman"/>
          <w:sz w:val="20"/>
          <w:szCs w:val="20"/>
        </w:rPr>
        <w:t xml:space="preserve"> </w:t>
      </w:r>
      <w:r w:rsidRPr="00D51F67">
        <w:rPr>
          <w:rFonts w:cs="Times New Roman"/>
          <w:i/>
          <w:sz w:val="20"/>
          <w:szCs w:val="20"/>
        </w:rPr>
        <w:t>Amministrazione delle finanze dello Stato vs.</w:t>
      </w:r>
      <w:r w:rsidRPr="00D51F67">
        <w:rPr>
          <w:rFonts w:cs="Times New Roman"/>
          <w:bCs/>
          <w:i/>
          <w:sz w:val="20"/>
          <w:szCs w:val="20"/>
        </w:rPr>
        <w:t xml:space="preserve"> Spa Simmenthal</w:t>
      </w:r>
    </w:p>
  </w:footnote>
  <w:footnote w:id="88">
    <w:p w14:paraId="4300A3DC" w14:textId="0B0AAF2E"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bCs/>
        </w:rPr>
        <w:t xml:space="preserve">CGUE, Grande sezione, 26 febbraio 2013, Causa </w:t>
      </w:r>
      <w:r w:rsidRPr="00D51F67">
        <w:t>C-617/10,</w:t>
      </w:r>
      <w:r w:rsidRPr="00D51F67">
        <w:rPr>
          <w:bCs/>
        </w:rPr>
        <w:t xml:space="preserve"> </w:t>
      </w:r>
      <w:r w:rsidRPr="00D51F67">
        <w:rPr>
          <w:bCs/>
          <w:i/>
        </w:rPr>
        <w:t xml:space="preserve">Åklagaren </w:t>
      </w:r>
      <w:r w:rsidRPr="00D51F67">
        <w:rPr>
          <w:i/>
        </w:rPr>
        <w:t xml:space="preserve">vs. </w:t>
      </w:r>
      <w:r w:rsidRPr="00D51F67">
        <w:rPr>
          <w:bCs/>
          <w:i/>
        </w:rPr>
        <w:t>Fransson</w:t>
      </w:r>
      <w:r w:rsidRPr="00D51F67">
        <w:rPr>
          <w:bCs/>
        </w:rPr>
        <w:t>, punto 49:</w:t>
      </w:r>
      <w:r w:rsidRPr="00D51F67">
        <w:t xml:space="preserve"> </w:t>
      </w:r>
      <w:r w:rsidRPr="00D51F67">
        <w:rPr>
          <w:i/>
        </w:rPr>
        <w:t>«il diritto dell’Unione osta a una prassi giudiziaria che subordina l’obbligo, per il giudice nazionale, di disapplicare ogni disposizione che sia in contrasto con un diritto fondamentale garantito dalla Carta alla condizione che tale contrasto risulti chiaramente dal tenore della medesima o dalla relativa giurisprudenza, dal momento che essa priva il giudice nazionale del potere di valutare pienamente, se del caso con la collaborazione della Corte, la compatibilità di tale disposizione con la Carta medesima»</w:t>
      </w:r>
      <w:r w:rsidRPr="00D51F67">
        <w:t>.</w:t>
      </w:r>
    </w:p>
  </w:footnote>
  <w:footnote w:id="89">
    <w:p w14:paraId="595CC3E9" w14:textId="50E419F5"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Flick–Napoleoni</w:t>
      </w:r>
      <w:r w:rsidRPr="00D51F67">
        <w:t xml:space="preserve">, </w:t>
      </w:r>
      <w:r w:rsidRPr="00D51F67">
        <w:rPr>
          <w:i/>
        </w:rPr>
        <w:t>“Materia penale”, giusto processo e ne bis in idem nella sentenza della Corte EDU, 4 marzo 2014, sul market abuse</w:t>
      </w:r>
      <w:r w:rsidRPr="00D51F67">
        <w:t xml:space="preserve">, in </w:t>
      </w:r>
      <w:r w:rsidRPr="00D51F67">
        <w:rPr>
          <w:i/>
        </w:rPr>
        <w:t>www.abi.it</w:t>
      </w:r>
      <w:r w:rsidRPr="00D51F67">
        <w:t>, 4 giugno 2014, par. 9.</w:t>
      </w:r>
    </w:p>
  </w:footnote>
  <w:footnote w:id="90">
    <w:p w14:paraId="70F9B3C6" w14:textId="772EB6D3" w:rsidR="00A71CC7" w:rsidRPr="00D51F67" w:rsidRDefault="00A71CC7" w:rsidP="0002344A">
      <w:pPr>
        <w:pStyle w:val="Testonotaapidipagina"/>
        <w:ind w:firstLine="454"/>
      </w:pPr>
      <w:r w:rsidRPr="00D51F67">
        <w:rPr>
          <w:rStyle w:val="Rimandonotaapidipagina"/>
        </w:rPr>
        <w:footnoteRef/>
      </w:r>
      <w:r w:rsidRPr="00D51F67">
        <w:t xml:space="preserve"> Cfr., </w:t>
      </w:r>
      <w:r w:rsidRPr="00D51F67">
        <w:rPr>
          <w:i/>
        </w:rPr>
        <w:t>ex multis</w:t>
      </w:r>
      <w:r w:rsidRPr="00D51F67">
        <w:t xml:space="preserve">, </w:t>
      </w:r>
      <w:r w:rsidRPr="00D51F67">
        <w:rPr>
          <w:smallCaps/>
        </w:rPr>
        <w:t>Viganò</w:t>
      </w:r>
      <w:r w:rsidRPr="00D51F67">
        <w:t xml:space="preserve">, </w:t>
      </w:r>
      <w:r w:rsidRPr="00D51F67">
        <w:rPr>
          <w:i/>
        </w:rPr>
        <w:t>Doppio binario sanzionatorio e ne bis in idem: verso una diretta applicazione dell’art. 50 della Carta?</w:t>
      </w:r>
      <w:r w:rsidRPr="00D51F67">
        <w:t xml:space="preserve">, in </w:t>
      </w:r>
      <w:r w:rsidRPr="00D51F67">
        <w:rPr>
          <w:i/>
          <w:iCs/>
        </w:rPr>
        <w:t>Diritto Penale Contemporaneo</w:t>
      </w:r>
      <w:r w:rsidRPr="00D51F67">
        <w:t>, 30 giugno 2014, par. 3.4.2.</w:t>
      </w:r>
    </w:p>
  </w:footnote>
  <w:footnote w:id="91">
    <w:p w14:paraId="627AF84A" w14:textId="241D32AA" w:rsidR="00A71CC7" w:rsidRPr="00D51F67" w:rsidRDefault="00A71CC7" w:rsidP="0002344A">
      <w:pPr>
        <w:pStyle w:val="Testonotaapidipagina"/>
        <w:ind w:firstLine="454"/>
      </w:pPr>
      <w:r w:rsidRPr="00D51F67">
        <w:rPr>
          <w:rStyle w:val="Rimandonotaapidipagina"/>
        </w:rPr>
        <w:footnoteRef/>
      </w:r>
      <w:r w:rsidRPr="00D51F67">
        <w:t xml:space="preserve"> Per un’interpretazione alternativa dell’art. 14 della MAD vedi </w:t>
      </w:r>
      <w:r w:rsidRPr="00D51F67">
        <w:rPr>
          <w:i/>
        </w:rPr>
        <w:t>infra</w:t>
      </w:r>
      <w:r w:rsidRPr="00D51F67">
        <w:t>.</w:t>
      </w:r>
    </w:p>
  </w:footnote>
  <w:footnote w:id="92">
    <w:p w14:paraId="70B50DCC" w14:textId="5652F5A7"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Flick–Napoleoni</w:t>
      </w:r>
      <w:r w:rsidRPr="00D51F67">
        <w:t xml:space="preserve">, </w:t>
      </w:r>
      <w:r w:rsidRPr="00D51F67">
        <w:rPr>
          <w:i/>
        </w:rPr>
        <w:t>“Materia penale”, giusto processo e ne bis in idem nella sentenza della Corte EDU, 4 marzo 2014, sul market abuse</w:t>
      </w:r>
      <w:r w:rsidRPr="00D51F67">
        <w:t xml:space="preserve">, in </w:t>
      </w:r>
      <w:r w:rsidRPr="00D51F67">
        <w:rPr>
          <w:i/>
        </w:rPr>
        <w:t>www.abi.it</w:t>
      </w:r>
      <w:r w:rsidRPr="00D51F67">
        <w:t>, 4 giugno 2014, par. 9.</w:t>
      </w:r>
    </w:p>
  </w:footnote>
  <w:footnote w:id="93">
    <w:p w14:paraId="54D97147" w14:textId="16E054D9" w:rsidR="00A71CC7" w:rsidRPr="00D51F67" w:rsidRDefault="00A71CC7" w:rsidP="0002344A">
      <w:pPr>
        <w:pStyle w:val="Testonotaapidipagina"/>
        <w:ind w:firstLine="454"/>
      </w:pPr>
      <w:r w:rsidRPr="00D51F67">
        <w:rPr>
          <w:rStyle w:val="Rimandonotaapidipagina"/>
        </w:rPr>
        <w:footnoteRef/>
      </w:r>
      <w:r w:rsidRPr="00D51F67">
        <w:t xml:space="preserve"> Cfr. </w:t>
      </w:r>
      <w:r w:rsidRPr="00D51F67">
        <w:rPr>
          <w:smallCaps/>
        </w:rPr>
        <w:t>Flick–Napoleoni</w:t>
      </w:r>
      <w:r w:rsidRPr="00D51F67">
        <w:t xml:space="preserve">, </w:t>
      </w:r>
      <w:r w:rsidRPr="00D51F67">
        <w:rPr>
          <w:i/>
        </w:rPr>
        <w:t>“Materia penale”, giusto processo e ne bis in idem nella sentenza della Corte EDU, 4 marzo 2014, sul market abuse</w:t>
      </w:r>
      <w:r w:rsidRPr="00D51F67">
        <w:t xml:space="preserve">, in </w:t>
      </w:r>
      <w:r w:rsidRPr="00D51F67">
        <w:rPr>
          <w:i/>
        </w:rPr>
        <w:t>www.abi.it</w:t>
      </w:r>
      <w:r w:rsidRPr="00D51F67">
        <w:t>, 4 giugno 2014, par. 8.</w:t>
      </w:r>
    </w:p>
  </w:footnote>
  <w:footnote w:id="94">
    <w:p w14:paraId="19492E07" w14:textId="32F8CC74" w:rsidR="00A71CC7" w:rsidRPr="00D51F67" w:rsidRDefault="00A71CC7" w:rsidP="0002344A">
      <w:pPr>
        <w:pStyle w:val="Testonotaapidipagina"/>
        <w:ind w:firstLine="454"/>
      </w:pPr>
      <w:r w:rsidRPr="00D51F67">
        <w:rPr>
          <w:rStyle w:val="Rimandonotaapidipagina"/>
        </w:rPr>
        <w:footnoteRef/>
      </w:r>
      <w:r w:rsidRPr="00D51F67">
        <w:t xml:space="preserve"> Cfr. </w:t>
      </w:r>
      <w:r w:rsidRPr="00D51F67">
        <w:rPr>
          <w:i/>
        </w:rPr>
        <w:t>infra</w:t>
      </w:r>
      <w:r w:rsidRPr="00D51F67">
        <w:t>.</w:t>
      </w:r>
    </w:p>
  </w:footnote>
  <w:footnote w:id="95">
    <w:p w14:paraId="3FC0B106" w14:textId="2EBEE324"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Viganò</w:t>
      </w:r>
      <w:r w:rsidRPr="00D51F67">
        <w:t xml:space="preserve">, </w:t>
      </w:r>
      <w:r w:rsidRPr="00D51F67">
        <w:rPr>
          <w:i/>
        </w:rPr>
        <w:t>Doppio binario sanzionatorio e ne bis in idem: verso una diretta applicazione dell’art. 50 della Carta?</w:t>
      </w:r>
      <w:r w:rsidRPr="00D51F67">
        <w:t xml:space="preserve">, in </w:t>
      </w:r>
      <w:r w:rsidRPr="00D51F67">
        <w:rPr>
          <w:i/>
          <w:iCs/>
        </w:rPr>
        <w:t>Diritto Penale Contemporaneo</w:t>
      </w:r>
      <w:r w:rsidRPr="00D51F67">
        <w:t>, 30 giugno 2014, par. 4.4.</w:t>
      </w:r>
    </w:p>
  </w:footnote>
  <w:footnote w:id="96">
    <w:p w14:paraId="4041E70C" w14:textId="77777777" w:rsidR="00A71CC7" w:rsidRPr="00D51F67" w:rsidRDefault="00A71CC7" w:rsidP="0002344A">
      <w:pPr>
        <w:pStyle w:val="NormaleWeb"/>
        <w:spacing w:before="0" w:beforeAutospacing="0" w:after="0" w:afterAutospacing="0"/>
        <w:jc w:val="both"/>
        <w:rPr>
          <w:rFonts w:ascii="Times New Roman" w:hAnsi="Times New Roman"/>
          <w:lang w:val="it-IT"/>
        </w:rPr>
      </w:pPr>
      <w:r w:rsidRPr="00D51F67">
        <w:rPr>
          <w:rStyle w:val="Rimandonotaapidipagina"/>
          <w:rFonts w:ascii="Times New Roman" w:hAnsi="Times New Roman"/>
        </w:rPr>
        <w:footnoteRef/>
      </w:r>
      <w:r w:rsidRPr="00D51F67">
        <w:rPr>
          <w:rFonts w:ascii="Times New Roman" w:hAnsi="Times New Roman"/>
        </w:rPr>
        <w:t xml:space="preserve"> Per tale </w:t>
      </w:r>
      <w:r w:rsidRPr="00D51F67">
        <w:rPr>
          <w:rFonts w:ascii="Times New Roman" w:hAnsi="Times New Roman"/>
          <w:lang w:val="it-IT"/>
        </w:rPr>
        <w:t xml:space="preserve">soluzione propende </w:t>
      </w:r>
      <w:r w:rsidRPr="00D51F67">
        <w:rPr>
          <w:rFonts w:ascii="Times New Roman" w:hAnsi="Times New Roman"/>
          <w:smallCaps/>
          <w:lang w:val="it-IT"/>
        </w:rPr>
        <w:t>Tripodi</w:t>
      </w:r>
      <w:r w:rsidRPr="00D51F67">
        <w:rPr>
          <w:rFonts w:ascii="Times New Roman" w:hAnsi="Times New Roman"/>
          <w:lang w:val="it-IT"/>
        </w:rPr>
        <w:t xml:space="preserve">, </w:t>
      </w:r>
      <w:r w:rsidRPr="00D51F67">
        <w:rPr>
          <w:rFonts w:ascii="Times New Roman" w:hAnsi="Times New Roman"/>
          <w:i/>
          <w:lang w:val="it-IT"/>
        </w:rPr>
        <w:t>Uno più uno (a Strasburgo) fa due. L'Italia condannata per violazione del ne bis in idem in tema di manipolazione del mercato</w:t>
      </w:r>
      <w:r w:rsidRPr="00D51F67">
        <w:rPr>
          <w:rFonts w:ascii="Times New Roman" w:hAnsi="Times New Roman"/>
          <w:lang w:val="it-IT"/>
        </w:rPr>
        <w:t xml:space="preserve">, in </w:t>
      </w:r>
      <w:r w:rsidRPr="00D51F67">
        <w:rPr>
          <w:rFonts w:ascii="Times New Roman" w:hAnsi="Times New Roman"/>
          <w:i/>
          <w:iCs/>
          <w:lang w:val="it-IT"/>
        </w:rPr>
        <w:t>Diritto Penale Contemporaneo</w:t>
      </w:r>
      <w:r w:rsidRPr="00D51F67">
        <w:rPr>
          <w:rFonts w:ascii="Times New Roman" w:hAnsi="Times New Roman"/>
          <w:lang w:val="it-IT"/>
        </w:rPr>
        <w:t>, 9 marzo 2014, par. 6.</w:t>
      </w:r>
    </w:p>
  </w:footnote>
  <w:footnote w:id="97">
    <w:p w14:paraId="1FA6D8A0" w14:textId="5EF08EA3" w:rsidR="00A71CC7" w:rsidRPr="00D51F67" w:rsidRDefault="00A71CC7" w:rsidP="0002344A">
      <w:pPr>
        <w:pStyle w:val="Testonotaapidipagina"/>
        <w:ind w:firstLine="454"/>
      </w:pPr>
      <w:r w:rsidRPr="00D51F67">
        <w:rPr>
          <w:rStyle w:val="Rimandonotaapidipagina"/>
        </w:rPr>
        <w:footnoteRef/>
      </w:r>
      <w:r w:rsidRPr="00D51F67">
        <w:t xml:space="preserve"> Corte cost., 7 aprile 2011, n. 113.</w:t>
      </w:r>
    </w:p>
  </w:footnote>
  <w:footnote w:id="98">
    <w:p w14:paraId="3846DA69" w14:textId="34269CBF"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D’Alessandro</w:t>
      </w:r>
      <w:r w:rsidRPr="00D51F67">
        <w:t xml:space="preserve">, </w:t>
      </w:r>
      <w:r w:rsidRPr="00D51F67">
        <w:rPr>
          <w:i/>
        </w:rPr>
        <w:t>Tutela dei mercati finanziari e rispetto dei diritti umani fondamentali</w:t>
      </w:r>
      <w:r w:rsidRPr="00D51F67">
        <w:t xml:space="preserve">, in </w:t>
      </w:r>
      <w:r w:rsidRPr="00D51F67">
        <w:rPr>
          <w:i/>
        </w:rPr>
        <w:t>Diritto penale e processo</w:t>
      </w:r>
      <w:r w:rsidRPr="00D51F67">
        <w:t>, 5/2014, 629.</w:t>
      </w:r>
    </w:p>
  </w:footnote>
  <w:footnote w:id="99">
    <w:p w14:paraId="69B1ADEB" w14:textId="73EB8453"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Masucci</w:t>
      </w:r>
      <w:r w:rsidRPr="00D51F67">
        <w:t xml:space="preserve">, </w:t>
      </w:r>
      <w:r w:rsidRPr="00D51F67">
        <w:rPr>
          <w:i/>
        </w:rPr>
        <w:t>Abusi di mercato</w:t>
      </w:r>
      <w:r w:rsidRPr="00D51F67">
        <w:t xml:space="preserve">, in </w:t>
      </w:r>
      <w:r w:rsidRPr="00D51F67">
        <w:rPr>
          <w:smallCaps/>
        </w:rPr>
        <w:t>Fiorella</w:t>
      </w:r>
      <w:r w:rsidRPr="00D51F67">
        <w:t xml:space="preserve">, </w:t>
      </w:r>
      <w:r w:rsidRPr="00D51F67">
        <w:rPr>
          <w:i/>
        </w:rPr>
        <w:t>Questioni fondamentali della parte speciale del diritto penale</w:t>
      </w:r>
      <w:r w:rsidRPr="00D51F67">
        <w:t>, cit., 258 e s.</w:t>
      </w:r>
    </w:p>
  </w:footnote>
  <w:footnote w:id="100">
    <w:p w14:paraId="26E3A7C7" w14:textId="26FA4D58"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Masucci</w:t>
      </w:r>
      <w:r w:rsidRPr="00D51F67">
        <w:t xml:space="preserve">, </w:t>
      </w:r>
      <w:r w:rsidRPr="00D51F67">
        <w:rPr>
          <w:i/>
        </w:rPr>
        <w:t>Abusi di mercato</w:t>
      </w:r>
      <w:r w:rsidRPr="00D51F67">
        <w:t xml:space="preserve">, in </w:t>
      </w:r>
      <w:r w:rsidRPr="00D51F67">
        <w:rPr>
          <w:smallCaps/>
        </w:rPr>
        <w:t>Fiorella</w:t>
      </w:r>
      <w:r w:rsidRPr="00D51F67">
        <w:t xml:space="preserve">, </w:t>
      </w:r>
      <w:r w:rsidRPr="00D51F67">
        <w:rPr>
          <w:i/>
        </w:rPr>
        <w:t>Questioni fondamentali della parte speciale del diritto penale</w:t>
      </w:r>
      <w:r w:rsidRPr="00D51F67">
        <w:t>, cit., 259.</w:t>
      </w:r>
    </w:p>
  </w:footnote>
  <w:footnote w:id="101">
    <w:p w14:paraId="078CD196" w14:textId="2308A77F" w:rsidR="00A71CC7" w:rsidRPr="00D51F67" w:rsidRDefault="00A71CC7" w:rsidP="0002344A">
      <w:pPr>
        <w:pStyle w:val="Testonotaapidipagina"/>
        <w:ind w:firstLine="454"/>
      </w:pPr>
      <w:r w:rsidRPr="00D51F67">
        <w:rPr>
          <w:rStyle w:val="Rimandonotaapidipagina"/>
        </w:rPr>
        <w:footnoteRef/>
      </w:r>
      <w:r w:rsidRPr="00D51F67">
        <w:t xml:space="preserve"> Relazione dell’Ufficio del Ruolo e del Massimario presso la Corte Suprema di Cassazione, n. 35/2014, 8 maggio 2014, in </w:t>
      </w:r>
      <w:r w:rsidRPr="00D51F67">
        <w:rPr>
          <w:i/>
          <w:iCs/>
        </w:rPr>
        <w:t xml:space="preserve">cortedicassazione.it, </w:t>
      </w:r>
      <w:r w:rsidRPr="00D51F67">
        <w:t>27.</w:t>
      </w:r>
    </w:p>
  </w:footnote>
  <w:footnote w:id="102">
    <w:p w14:paraId="72E4CBE3" w14:textId="4149D231" w:rsidR="00A71CC7" w:rsidRPr="00D51F67" w:rsidRDefault="00A71CC7" w:rsidP="0002344A">
      <w:pPr>
        <w:pStyle w:val="Testonotaapidipagina"/>
        <w:ind w:firstLine="454"/>
      </w:pPr>
      <w:r w:rsidRPr="00D51F67">
        <w:rPr>
          <w:rStyle w:val="Rimandonotaapidipagina"/>
        </w:rPr>
        <w:footnoteRef/>
      </w:r>
      <w:r w:rsidRPr="00D51F67">
        <w:t xml:space="preserve"> Cfr. </w:t>
      </w:r>
      <w:r w:rsidRPr="00D51F67">
        <w:rPr>
          <w:i/>
        </w:rPr>
        <w:t>supra</w:t>
      </w:r>
      <w:r w:rsidRPr="00D51F67">
        <w:t>.</w:t>
      </w:r>
    </w:p>
  </w:footnote>
  <w:footnote w:id="103">
    <w:p w14:paraId="422E20C1" w14:textId="019FAC38"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Ambrosetti</w:t>
      </w:r>
      <w:r w:rsidRPr="00D51F67">
        <w:t xml:space="preserve">, </w:t>
      </w:r>
      <w:r w:rsidRPr="00D51F67">
        <w:rPr>
          <w:i/>
        </w:rPr>
        <w:t>Materia regolata da più leggi penali o da più disposizioni della medesima legge penale. Il principio di specialità</w:t>
      </w:r>
      <w:r w:rsidRPr="00D51F67">
        <w:t xml:space="preserve">, in </w:t>
      </w:r>
      <w:r w:rsidRPr="00D51F67">
        <w:rPr>
          <w:smallCaps/>
        </w:rPr>
        <w:t xml:space="preserve">Ambrosetti-Mezzetti-Ronco </w:t>
      </w:r>
      <w:r w:rsidRPr="00D51F67">
        <w:t xml:space="preserve">(a cura di), </w:t>
      </w:r>
      <w:r w:rsidRPr="00D51F67">
        <w:rPr>
          <w:i/>
        </w:rPr>
        <w:t>La legge penale</w:t>
      </w:r>
      <w:r w:rsidRPr="00D51F67">
        <w:t>, cit., 402 e ss.</w:t>
      </w:r>
    </w:p>
  </w:footnote>
  <w:footnote w:id="104">
    <w:p w14:paraId="0EBDEC2B" w14:textId="0B36C0C7"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Mantovani</w:t>
      </w:r>
      <w:r w:rsidRPr="00D51F67">
        <w:t xml:space="preserve">, </w:t>
      </w:r>
      <w:r w:rsidRPr="00D51F67">
        <w:rPr>
          <w:i/>
        </w:rPr>
        <w:t>Diritto penale. Parte generale</w:t>
      </w:r>
      <w:r w:rsidRPr="00D51F67">
        <w:t>, cit., XL e ss.</w:t>
      </w:r>
    </w:p>
  </w:footnote>
  <w:footnote w:id="105">
    <w:p w14:paraId="129A0892" w14:textId="5F2B7259" w:rsidR="00A71CC7" w:rsidRPr="00D51F67" w:rsidRDefault="00A71CC7" w:rsidP="0002344A">
      <w:pPr>
        <w:pStyle w:val="Testonotaapidipagina"/>
        <w:ind w:firstLine="454"/>
      </w:pPr>
      <w:r w:rsidRPr="00D51F67">
        <w:rPr>
          <w:rStyle w:val="Rimandonotaapidipagina"/>
        </w:rPr>
        <w:footnoteRef/>
      </w:r>
      <w:r w:rsidRPr="00D51F67">
        <w:t xml:space="preserve"> Corte cost., 15-28 dicembre 1998, n. 447. </w:t>
      </w:r>
    </w:p>
  </w:footnote>
  <w:footnote w:id="106">
    <w:p w14:paraId="3498BCDF" w14:textId="4A061561"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Pulitanò</w:t>
      </w:r>
      <w:r w:rsidRPr="00D51F67">
        <w:t xml:space="preserve">, </w:t>
      </w:r>
      <w:r w:rsidRPr="00D51F67">
        <w:rPr>
          <w:i/>
        </w:rPr>
        <w:t>Diritto penale</w:t>
      </w:r>
      <w:r w:rsidRPr="00D51F67">
        <w:t>, Torino, 2013, 50.</w:t>
      </w:r>
    </w:p>
  </w:footnote>
  <w:footnote w:id="107">
    <w:p w14:paraId="6CE9805B" w14:textId="712EE5D8" w:rsidR="00A71CC7" w:rsidRPr="00D51F67" w:rsidRDefault="00A71CC7" w:rsidP="0002344A">
      <w:pPr>
        <w:pStyle w:val="Testonotaapidipagina"/>
        <w:ind w:firstLine="454"/>
      </w:pPr>
      <w:r w:rsidRPr="00D51F67">
        <w:rPr>
          <w:rStyle w:val="Rimandonotaapidipagina"/>
        </w:rPr>
        <w:footnoteRef/>
      </w:r>
      <w:r w:rsidRPr="00D51F67">
        <w:t xml:space="preserve"> Per un orientamento sul valore di tale principio cfr., </w:t>
      </w:r>
      <w:r w:rsidRPr="00D51F67">
        <w:rPr>
          <w:i/>
        </w:rPr>
        <w:t>ex multis</w:t>
      </w:r>
      <w:r w:rsidRPr="00D51F67">
        <w:t xml:space="preserve">, </w:t>
      </w:r>
      <w:r w:rsidRPr="00D51F67">
        <w:rPr>
          <w:smallCaps/>
        </w:rPr>
        <w:t>Mantovani</w:t>
      </w:r>
      <w:r w:rsidRPr="00D51F67">
        <w:t xml:space="preserve">, </w:t>
      </w:r>
      <w:r w:rsidRPr="00D51F67">
        <w:rPr>
          <w:i/>
        </w:rPr>
        <w:t>Diritto penale. Parte generale</w:t>
      </w:r>
      <w:r w:rsidRPr="00D51F67">
        <w:t>, cit., 184 e ss.</w:t>
      </w:r>
    </w:p>
  </w:footnote>
  <w:footnote w:id="108">
    <w:p w14:paraId="45154057" w14:textId="0AE128D0" w:rsidR="00A71CC7" w:rsidRPr="00D51F67" w:rsidRDefault="00A71CC7" w:rsidP="0002344A">
      <w:pPr>
        <w:rPr>
          <w:rFonts w:cs="Times New Roman"/>
          <w:i/>
          <w:sz w:val="20"/>
          <w:szCs w:val="20"/>
        </w:rPr>
      </w:pPr>
      <w:r w:rsidRPr="00D51F67">
        <w:rPr>
          <w:rStyle w:val="Rimandonotaapidipagina"/>
          <w:rFonts w:cs="Times New Roman"/>
          <w:sz w:val="20"/>
          <w:szCs w:val="20"/>
        </w:rPr>
        <w:footnoteRef/>
      </w:r>
      <w:r w:rsidRPr="00D51F67">
        <w:rPr>
          <w:rFonts w:cs="Times New Roman"/>
          <w:sz w:val="20"/>
          <w:szCs w:val="20"/>
        </w:rPr>
        <w:t xml:space="preserve"> La Corte costituzionale, nella sentenza n. 409 del 6-18 luglio 1989, ha evidenziato che </w:t>
      </w:r>
      <w:r w:rsidRPr="00D51F67">
        <w:rPr>
          <w:rFonts w:cs="Times New Roman"/>
          <w:i/>
          <w:sz w:val="20"/>
          <w:szCs w:val="20"/>
        </w:rPr>
        <w:t xml:space="preserve">«Non v'è dubbio, infatti, che il </w:t>
      </w:r>
      <w:r>
        <w:rPr>
          <w:rFonts w:cs="Times New Roman"/>
          <w:i/>
          <w:sz w:val="20"/>
          <w:szCs w:val="20"/>
        </w:rPr>
        <w:t>legislatore</w:t>
      </w:r>
      <w:r w:rsidRPr="00D51F67">
        <w:rPr>
          <w:rFonts w:cs="Times New Roman"/>
          <w:i/>
          <w:sz w:val="20"/>
          <w:szCs w:val="20"/>
        </w:rPr>
        <w:t xml:space="preserve"> non è sostanzialmente arbitro delle sue scelte criminalizzatrici ma deve, oltre che ancorare ogni previsione di reato ad una reale dannosità sociale, circoscrivere, per quanto possibile, tenuto conto del rango costituzionale della (con la pena sacrificata) libertà personale, l'ambito del penalmente rilevante. […] La non applicazione, da parte del legislatore ordinario, dei criteri informatori di politica criminale (quale quello di "sussidiarietà" del diritto penale) costituzionalmente sanciti, possono, infatti, essere censurati da questa Corte solo per violazione del criterio di ragionevolezza e per indebita compressione del diritto fondamentale di libertà costituzionalmente riconosciuto»</w:t>
      </w:r>
      <w:r w:rsidRPr="00D51F67">
        <w:rPr>
          <w:rFonts w:cs="Times New Roman"/>
          <w:sz w:val="20"/>
          <w:szCs w:val="20"/>
        </w:rPr>
        <w:t>.</w:t>
      </w:r>
    </w:p>
  </w:footnote>
  <w:footnote w:id="109">
    <w:p w14:paraId="10416435" w14:textId="3EF6C90A" w:rsidR="00A71CC7" w:rsidRPr="00D51F67" w:rsidRDefault="00A71CC7" w:rsidP="0002344A">
      <w:pPr>
        <w:pStyle w:val="Testonotaapidipagina"/>
        <w:ind w:firstLine="454"/>
      </w:pPr>
      <w:r w:rsidRPr="00D51F67">
        <w:rPr>
          <w:rStyle w:val="Rimandonotaapidipagina"/>
        </w:rPr>
        <w:footnoteRef/>
      </w:r>
      <w:r w:rsidRPr="00D51F67">
        <w:t xml:space="preserve"> Sulla punibilità dell’antefatto necessario alla realizzazione di un reato la Corte di Cassazione, in </w:t>
      </w:r>
      <w:r w:rsidRPr="00D51F67">
        <w:rPr>
          <w:bCs/>
        </w:rPr>
        <w:t>Cass. pen., sez. III, 23 settembre 2008, n. 36364</w:t>
      </w:r>
      <w:r w:rsidRPr="00D51F67">
        <w:t xml:space="preserve">, si è pronunciata: </w:t>
      </w:r>
      <w:r w:rsidRPr="00D51F67">
        <w:rPr>
          <w:i/>
        </w:rPr>
        <w:t>«Orbene, per cedere il materiale [pedopornografico] (che è cosa diversa dall'informazione), bisogna prima detenerlo. In tale situazione la detenzione di materiale pedopornografico assume i connotati di un antefatto non punibile e per tale ragione rimase assorbito nel delitto di cessione. In definitiva, la condotta di cui all'art. 600 quater c.p., rimarrà assorbita in quelle di cui all'art. 600 ter allorché sussista una progressione criminosa o un assorbimento e la condotta della detenzione sia prodromica a quelle di cui all'art. 600 ter c.p.»</w:t>
      </w:r>
      <w:r w:rsidRPr="00D51F67">
        <w:t>.</w:t>
      </w:r>
    </w:p>
  </w:footnote>
  <w:footnote w:id="110">
    <w:p w14:paraId="20C9C5DD" w14:textId="3C8F6420"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Ambrosetti</w:t>
      </w:r>
      <w:r w:rsidRPr="00D51F67">
        <w:t xml:space="preserve">, </w:t>
      </w:r>
      <w:r w:rsidRPr="00D51F67">
        <w:rPr>
          <w:i/>
        </w:rPr>
        <w:t>Materia regolata da più leggi penali o da più disposizioni della medesima legge penale. Il principio di specialità</w:t>
      </w:r>
      <w:r w:rsidRPr="00D51F67">
        <w:t xml:space="preserve">, in </w:t>
      </w:r>
      <w:r w:rsidRPr="00D51F67">
        <w:rPr>
          <w:smallCaps/>
        </w:rPr>
        <w:t xml:space="preserve">Ambrosetti-Mezzetti-Ronco </w:t>
      </w:r>
      <w:r w:rsidRPr="00D51F67">
        <w:t xml:space="preserve">(a cura di), </w:t>
      </w:r>
      <w:r w:rsidRPr="00D51F67">
        <w:rPr>
          <w:i/>
        </w:rPr>
        <w:t>La legge penale</w:t>
      </w:r>
      <w:r w:rsidRPr="00D51F67">
        <w:t>, cit., 433.</w:t>
      </w:r>
    </w:p>
  </w:footnote>
  <w:footnote w:id="111">
    <w:p w14:paraId="194397B4" w14:textId="4417BD5A"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rFonts w:eastAsia="Times New Roman"/>
          <w:smallCaps/>
          <w:noProof/>
        </w:rPr>
        <w:t>Vizzardi</w:t>
      </w:r>
      <w:r w:rsidRPr="00D51F67">
        <w:rPr>
          <w:rFonts w:eastAsia="Times New Roman"/>
          <w:noProof/>
          <w:color w:val="000000"/>
        </w:rPr>
        <w:t xml:space="preserve">, </w:t>
      </w:r>
      <w:r w:rsidRPr="00D51F67">
        <w:rPr>
          <w:rFonts w:eastAsia="Times New Roman"/>
          <w:i/>
          <w:noProof/>
          <w:color w:val="000000"/>
        </w:rPr>
        <w:t>Manipolazione di mercato: un "doppio binario" da ripensare?</w:t>
      </w:r>
      <w:r w:rsidRPr="00D51F67">
        <w:rPr>
          <w:rFonts w:eastAsia="Times New Roman"/>
          <w:noProof/>
          <w:color w:val="000000"/>
        </w:rPr>
        <w:t>, in</w:t>
      </w:r>
      <w:r w:rsidRPr="00D51F67">
        <w:rPr>
          <w:rFonts w:eastAsia="Times New Roman"/>
          <w:i/>
          <w:noProof/>
          <w:color w:val="000000"/>
        </w:rPr>
        <w:t xml:space="preserve"> </w:t>
      </w:r>
      <w:r w:rsidRPr="00D51F67">
        <w:rPr>
          <w:rFonts w:eastAsia="Times New Roman"/>
          <w:i/>
          <w:iCs/>
          <w:smallCaps/>
          <w:noProof/>
          <w:color w:val="000000"/>
        </w:rPr>
        <w:t>Siracusano</w:t>
      </w:r>
      <w:r w:rsidRPr="00D51F67">
        <w:rPr>
          <w:rFonts w:eastAsia="Times New Roman"/>
          <w:i/>
          <w:noProof/>
          <w:color w:val="000000"/>
        </w:rPr>
        <w:t xml:space="preserve"> (a cura di), Scritti di diritto penale dell'economia</w:t>
      </w:r>
      <w:r w:rsidRPr="00D51F67">
        <w:rPr>
          <w:rFonts w:eastAsia="Times New Roman"/>
          <w:noProof/>
          <w:color w:val="000000"/>
        </w:rPr>
        <w:t xml:space="preserve">, cit., 195, che ravvisa </w:t>
      </w:r>
      <w:r w:rsidRPr="00D51F67">
        <w:rPr>
          <w:rFonts w:eastAsia="Times New Roman"/>
          <w:i/>
          <w:noProof/>
          <w:color w:val="000000"/>
        </w:rPr>
        <w:t>«una sostanziale sovrapponibilità delle condotte penalmente rilevanti contemplate nell’art. 185 T.U.F. e gli illeciti amministrativi di cui all’art. 187 ter T.U.F.»</w:t>
      </w:r>
      <w:r w:rsidRPr="00D51F67">
        <w:rPr>
          <w:rFonts w:eastAsia="Times New Roman"/>
          <w:noProof/>
          <w:color w:val="000000"/>
        </w:rPr>
        <w:t>.</w:t>
      </w:r>
    </w:p>
  </w:footnote>
  <w:footnote w:id="112">
    <w:p w14:paraId="7BC4DF55" w14:textId="092BF461" w:rsidR="00A71CC7" w:rsidRPr="00D51F67" w:rsidRDefault="00A71CC7" w:rsidP="0002344A">
      <w:pPr>
        <w:autoSpaceDE w:val="0"/>
        <w:autoSpaceDN w:val="0"/>
        <w:adjustRightInd w:val="0"/>
        <w:rPr>
          <w:rFonts w:cs="Times New Roman"/>
          <w:sz w:val="20"/>
          <w:szCs w:val="20"/>
        </w:rPr>
      </w:pPr>
      <w:r w:rsidRPr="00D51F67">
        <w:rPr>
          <w:rStyle w:val="Rimandonotaapidipagina"/>
          <w:rFonts w:cs="Times New Roman"/>
          <w:sz w:val="20"/>
          <w:szCs w:val="20"/>
        </w:rPr>
        <w:footnoteRef/>
      </w:r>
      <w:r w:rsidRPr="00D51F67">
        <w:rPr>
          <w:rFonts w:cs="Times New Roman"/>
          <w:sz w:val="20"/>
          <w:szCs w:val="20"/>
        </w:rPr>
        <w:t xml:space="preserve"> Tali condotte sono state inserite dal CESR e dalla CONSOB nella categoria “</w:t>
      </w:r>
      <w:r w:rsidRPr="00D51F67">
        <w:rPr>
          <w:rFonts w:cs="Times New Roman"/>
          <w:i/>
          <w:sz w:val="20"/>
          <w:szCs w:val="20"/>
        </w:rPr>
        <w:t>dissemination of false and misleading information</w:t>
      </w:r>
      <w:r w:rsidRPr="00D51F67">
        <w:rPr>
          <w:rFonts w:cs="Times New Roman"/>
          <w:sz w:val="20"/>
          <w:szCs w:val="20"/>
        </w:rPr>
        <w:t xml:space="preserve">”. Per un approfondimento di tali condotte si rimanda </w:t>
      </w:r>
      <w:r w:rsidRPr="00D51F67">
        <w:rPr>
          <w:rFonts w:cs="Times New Roman"/>
          <w:i/>
          <w:sz w:val="20"/>
          <w:szCs w:val="20"/>
        </w:rPr>
        <w:t>supra</w:t>
      </w:r>
      <w:r w:rsidRPr="00D51F67">
        <w:rPr>
          <w:rFonts w:cs="Times New Roman"/>
          <w:sz w:val="20"/>
          <w:szCs w:val="20"/>
        </w:rPr>
        <w:t>.</w:t>
      </w:r>
    </w:p>
  </w:footnote>
  <w:footnote w:id="113">
    <w:p w14:paraId="1E91CC5E" w14:textId="0F9CACD3" w:rsidR="00A71CC7" w:rsidRPr="00D51F67" w:rsidRDefault="00A71CC7" w:rsidP="0002344A">
      <w:pPr>
        <w:pStyle w:val="Testonotaapidipagina"/>
        <w:ind w:firstLine="454"/>
      </w:pPr>
      <w:r w:rsidRPr="00D51F67">
        <w:rPr>
          <w:rStyle w:val="Rimandonotaapidipagina"/>
        </w:rPr>
        <w:footnoteRef/>
      </w:r>
      <w:r w:rsidRPr="00D51F67">
        <w:t xml:space="preserve"> Tali termini sono utilizzati dal CESR e dalla CONSOB per ricomprendere le condotte di cui all’art. 187 </w:t>
      </w:r>
      <w:r w:rsidRPr="00D51F67">
        <w:rPr>
          <w:i/>
        </w:rPr>
        <w:t>ter</w:t>
      </w:r>
      <w:r w:rsidRPr="00D51F67">
        <w:t xml:space="preserve"> del T.U.F., terzo comma, rispettivamente lett. a), b) e c). Per un approfondimento di tali condotte si rimanda </w:t>
      </w:r>
      <w:r w:rsidRPr="00D51F67">
        <w:rPr>
          <w:i/>
        </w:rPr>
        <w:t>supra</w:t>
      </w:r>
      <w:r w:rsidRPr="00D51F67">
        <w:t>.</w:t>
      </w:r>
    </w:p>
  </w:footnote>
  <w:footnote w:id="114">
    <w:p w14:paraId="01448156" w14:textId="10C762D1"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Masucci</w:t>
      </w:r>
      <w:r w:rsidRPr="00D51F67">
        <w:t xml:space="preserve">, </w:t>
      </w:r>
      <w:r w:rsidRPr="00D51F67">
        <w:rPr>
          <w:i/>
        </w:rPr>
        <w:t>Abusi di mercato</w:t>
      </w:r>
      <w:r w:rsidRPr="00D51F67">
        <w:t xml:space="preserve">, in </w:t>
      </w:r>
      <w:r w:rsidRPr="00D51F67">
        <w:rPr>
          <w:smallCaps/>
        </w:rPr>
        <w:t>Fiorella</w:t>
      </w:r>
      <w:r w:rsidRPr="00D51F67">
        <w:t xml:space="preserve">, </w:t>
      </w:r>
      <w:r w:rsidRPr="00D51F67">
        <w:rPr>
          <w:i/>
        </w:rPr>
        <w:t>Questioni fondamentali della parte speciale del diritto penale</w:t>
      </w:r>
      <w:r w:rsidRPr="00D51F67">
        <w:t>, cit., 272.</w:t>
      </w:r>
    </w:p>
  </w:footnote>
  <w:footnote w:id="115">
    <w:p w14:paraId="6DEB2301" w14:textId="16E61F17"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Masucci</w:t>
      </w:r>
      <w:r w:rsidRPr="00D51F67">
        <w:t xml:space="preserve">, </w:t>
      </w:r>
      <w:r w:rsidRPr="00D51F67">
        <w:rPr>
          <w:i/>
        </w:rPr>
        <w:t>Abusi di mercato</w:t>
      </w:r>
      <w:r w:rsidRPr="00D51F67">
        <w:t xml:space="preserve">, in </w:t>
      </w:r>
      <w:r w:rsidRPr="00D51F67">
        <w:rPr>
          <w:smallCaps/>
        </w:rPr>
        <w:t>Fiorella</w:t>
      </w:r>
      <w:r w:rsidRPr="00D51F67">
        <w:t xml:space="preserve">, </w:t>
      </w:r>
      <w:r w:rsidRPr="00D51F67">
        <w:rPr>
          <w:i/>
        </w:rPr>
        <w:t>Questioni fondamentali della parte speciale del diritto penale</w:t>
      </w:r>
      <w:r w:rsidRPr="00D51F67">
        <w:t>, cit., 274.</w:t>
      </w:r>
    </w:p>
  </w:footnote>
  <w:footnote w:id="116">
    <w:p w14:paraId="04E7358A" w14:textId="77777777" w:rsidR="00A71CC7" w:rsidRPr="00D51F67" w:rsidRDefault="00A71CC7" w:rsidP="0002344A">
      <w:pPr>
        <w:pStyle w:val="Testonotaapidipagina"/>
        <w:ind w:firstLine="454"/>
      </w:pPr>
      <w:r w:rsidRPr="00D51F67">
        <w:rPr>
          <w:rStyle w:val="Rimandonotaapidipagina"/>
        </w:rPr>
        <w:footnoteRef/>
      </w:r>
      <w:r w:rsidRPr="00D51F67">
        <w:t xml:space="preserve"> </w:t>
      </w:r>
      <w:r w:rsidRPr="00D51F67">
        <w:rPr>
          <w:smallCaps/>
        </w:rPr>
        <w:t>Lunghini</w:t>
      </w:r>
      <w:r w:rsidRPr="00D51F67">
        <w:t>,</w:t>
      </w:r>
      <w:r w:rsidRPr="00D51F67">
        <w:rPr>
          <w:i/>
          <w:iCs/>
        </w:rPr>
        <w:t xml:space="preserve"> Manipolazione del mercato</w:t>
      </w:r>
      <w:r w:rsidRPr="00D51F67">
        <w:rPr>
          <w:iCs/>
        </w:rPr>
        <w:t>, cit., 1479 e s</w:t>
      </w:r>
      <w:r w:rsidRPr="00D51F67">
        <w:rPr>
          <w:i/>
          <w:iCs/>
        </w:rPr>
        <w:t>.</w:t>
      </w:r>
    </w:p>
  </w:footnote>
  <w:footnote w:id="117">
    <w:p w14:paraId="06977027" w14:textId="4D414D8E" w:rsidR="00A71CC7" w:rsidRDefault="00A71CC7" w:rsidP="0002344A">
      <w:pPr>
        <w:pStyle w:val="Testonotaapidipagina"/>
        <w:ind w:firstLine="454"/>
      </w:pPr>
      <w:r>
        <w:rPr>
          <w:rStyle w:val="Rimandonotaapidipagina"/>
        </w:rPr>
        <w:footnoteRef/>
      </w:r>
      <w:r>
        <w:t xml:space="preserve"> L’ESMA è succeduta al CESR a norma del Regolamento 1095/2010/UE.</w:t>
      </w:r>
    </w:p>
  </w:footnote>
  <w:footnote w:id="118">
    <w:p w14:paraId="50AE5199" w14:textId="09501377" w:rsidR="00A71CC7" w:rsidRPr="00D51F67" w:rsidRDefault="00A71CC7" w:rsidP="0002344A">
      <w:pPr>
        <w:pStyle w:val="Testonotaapidipagina"/>
        <w:ind w:firstLine="454"/>
        <w:rPr>
          <w:i/>
        </w:rPr>
      </w:pPr>
      <w:r w:rsidRPr="00D51F67">
        <w:rPr>
          <w:rStyle w:val="Rimandonotaapidipagina"/>
        </w:rPr>
        <w:footnoteRef/>
      </w:r>
      <w:r w:rsidRPr="00D51F67">
        <w:t xml:space="preserve"> Si riporta il testo di tale articolo: </w:t>
      </w:r>
      <w:r w:rsidRPr="00D51F67">
        <w:rPr>
          <w:i/>
        </w:rPr>
        <w:t>«Ogni persona ha diritto a che la sua causa sia esaminata equamente, pubblicamente ed entro un termine ragionevole da un tribunale indipendente e imparziale, costituito per legge, il quale sia chiamato a pronunciarsi sulle controversie sui suoi diritti e doveri di carattere civile o sulla fondatezza di ogni accusa penale formulata nei suoi confronti. La sentenza deve essere resa pubblicamente, ma l’accesso alla sala d’udienza può essere vietato alla stampa e al pubblico durante tutto o parte del processo nell’interesse della morale, dell’ordine pubblico o della sicurezza nazionale in una società democratica, quando lo esigono gli interessi dei minori o la protezione della vita privata delle parti in causa, o, nella misura giudicata strettamente necessaria dal tribunale, quando in circostanze speciali la pubblicità possa portare pregiudizio agli interessi della giustizia»</w:t>
      </w:r>
      <w:r w:rsidRPr="00D51F67">
        <w:t>.</w:t>
      </w:r>
    </w:p>
  </w:footnote>
  <w:footnote w:id="119">
    <w:p w14:paraId="3FA6D129" w14:textId="77777777" w:rsidR="00A71CC7" w:rsidRPr="00D51F67" w:rsidRDefault="00A71CC7" w:rsidP="0002344A">
      <w:pPr>
        <w:pStyle w:val="Testonotaapidipagina"/>
        <w:ind w:firstLine="454"/>
      </w:pPr>
      <w:r w:rsidRPr="00D51F67">
        <w:rPr>
          <w:rStyle w:val="Rimandonotaapidipagina"/>
        </w:rPr>
        <w:footnoteRef/>
      </w:r>
      <w:r w:rsidRPr="00D51F67">
        <w:t xml:space="preserve"> La procedura sanzionatoria della CONSOB era disciplinata, al tempo dei fatti in oggetto, dalla delibera n. 12697 del 2 agosto 2000, successivamente modificata dalle delibere n. </w:t>
      </w:r>
      <w:hyperlink r:id="rId1" w:history="1">
        <w:r w:rsidRPr="00D51F67">
          <w:rPr>
            <w:bCs/>
          </w:rPr>
          <w:t>14468</w:t>
        </w:r>
      </w:hyperlink>
      <w:r w:rsidRPr="00D51F67">
        <w:t xml:space="preserve"> del 9 marzo 2004 e n. </w:t>
      </w:r>
      <w:hyperlink r:id="rId2" w:history="1">
        <w:r w:rsidRPr="00D51F67">
          <w:rPr>
            <w:bCs/>
          </w:rPr>
          <w:t>15131</w:t>
        </w:r>
      </w:hyperlink>
      <w:r w:rsidRPr="00D51F67">
        <w:t xml:space="preserve"> del 5 agosto 2005.</w:t>
      </w:r>
    </w:p>
    <w:p w14:paraId="421828C2" w14:textId="03E4207B" w:rsidR="00A71CC7" w:rsidRPr="00D51F67" w:rsidRDefault="00A71CC7" w:rsidP="0002344A">
      <w:pPr>
        <w:pStyle w:val="Testonotaapidipagina"/>
        <w:ind w:firstLine="454"/>
      </w:pPr>
      <w:r w:rsidRPr="00D51F67">
        <w:t>Tale procedura è stata completamente sostituita dall’adozione del “</w:t>
      </w:r>
      <w:r w:rsidRPr="00D51F67">
        <w:rPr>
          <w:bCs/>
        </w:rPr>
        <w:t>Regolamento generale sui procedimenti sanzionatori della CONSOB</w:t>
      </w:r>
      <w:r w:rsidRPr="00D51F67">
        <w:t>” ad opera della delibera n. 18750 del 19 dicembre 2013, successivamente modificato dalle delibere n. 18774 del 29 gennaio 2014 e n. 19016 del 3 settembre 2014.</w:t>
      </w:r>
    </w:p>
  </w:footnote>
  <w:footnote w:id="120">
    <w:p w14:paraId="6E6E8236" w14:textId="1909A086" w:rsidR="00A71CC7" w:rsidRDefault="00A71CC7" w:rsidP="004D6212">
      <w:pPr>
        <w:pStyle w:val="Testonotaapidipagina"/>
        <w:ind w:firstLine="454"/>
      </w:pPr>
      <w:r>
        <w:rPr>
          <w:rStyle w:val="Rimandonotaapidipagina"/>
        </w:rPr>
        <w:footnoteRef/>
      </w:r>
      <w:r>
        <w:t xml:space="preserve"> La critica della pluralità di ruoli è sollevata anche da </w:t>
      </w:r>
      <w:r w:rsidRPr="00D51F67">
        <w:rPr>
          <w:smallCaps/>
        </w:rPr>
        <w:t>Nieto Martìn</w:t>
      </w:r>
      <w:r w:rsidRPr="00D51F67">
        <w:t xml:space="preserve">, </w:t>
      </w:r>
      <w:r w:rsidRPr="00D51F67">
        <w:rPr>
          <w:i/>
        </w:rPr>
        <w:t>Abusi di mercato: un nuovo paradigma del diritto penale economico europeo</w:t>
      </w:r>
      <w:r w:rsidRPr="00D51F67">
        <w:t xml:space="preserve">, </w:t>
      </w:r>
      <w:r w:rsidRPr="00D51F67">
        <w:rPr>
          <w:rFonts w:eastAsia="Times New Roman"/>
        </w:rPr>
        <w:t xml:space="preserve">in </w:t>
      </w:r>
      <w:r w:rsidRPr="00D51F67">
        <w:rPr>
          <w:rFonts w:eastAsia="Times New Roman"/>
          <w:smallCaps/>
        </w:rPr>
        <w:t>Centro Nazionale di Prevenzione e Difesa Sociale</w:t>
      </w:r>
      <w:r w:rsidRPr="00D51F67">
        <w:rPr>
          <w:rFonts w:eastAsia="Times New Roman"/>
        </w:rPr>
        <w:t xml:space="preserve"> (a cura di), </w:t>
      </w:r>
      <w:r w:rsidRPr="00D51F67">
        <w:rPr>
          <w:rFonts w:eastAsia="Times New Roman"/>
          <w:i/>
        </w:rPr>
        <w:t>La crisi finanziaria: banche, regolatori, sanzioni</w:t>
      </w:r>
      <w:r>
        <w:rPr>
          <w:rFonts w:eastAsia="Times New Roman"/>
        </w:rPr>
        <w:t>, cit., 98</w:t>
      </w:r>
      <w:r w:rsidRPr="00D51F67">
        <w:rPr>
          <w:rFonts w:eastAsia="Times New Roman"/>
        </w:rPr>
        <w:t>.</w:t>
      </w:r>
    </w:p>
  </w:footnote>
  <w:footnote w:id="121">
    <w:p w14:paraId="3099BF30" w14:textId="2CF1D475" w:rsidR="00A71CC7" w:rsidRPr="00D51F67" w:rsidRDefault="00A71CC7" w:rsidP="004D6212">
      <w:pPr>
        <w:pStyle w:val="Testonotaapidipagina"/>
        <w:ind w:firstLine="454"/>
      </w:pPr>
      <w:r w:rsidRPr="00D51F67">
        <w:rPr>
          <w:rStyle w:val="Rimandonotaapidipagina"/>
        </w:rPr>
        <w:footnoteRef/>
      </w:r>
      <w:r w:rsidRPr="00D51F67">
        <w:t xml:space="preserve"> Con il nuovo Codice del Processo Amministrativo (CPA), approvato con d.lgs. n. 104 del 2 luglio 2010, il giudice amministrativo ha acquisito giurisdizione esclusiva in materia dei provvedimenti sanzionatori della CONSOB (art. 133, primo comma, lett. l), la quale era estesa al merito a norma del primo comma, lett. c, dell’art. 134. La Corte costituzionale però, con sentenza n. 162 del 27 giugno 2012, ha dichiarato incostituzionali le citate disposizioni per eccesso di delega, con conseguente reviviscenza dei commi del T.U.F. che erano stati abrogati.</w:t>
      </w:r>
    </w:p>
  </w:footnote>
  <w:footnote w:id="122">
    <w:p w14:paraId="2EECBD94" w14:textId="4398FA38" w:rsidR="00A71CC7" w:rsidRPr="00D51F67" w:rsidRDefault="00A71CC7" w:rsidP="004D6212">
      <w:pPr>
        <w:pStyle w:val="Testonotaapidipagina"/>
        <w:ind w:firstLine="454"/>
      </w:pPr>
      <w:r w:rsidRPr="00D51F67">
        <w:rPr>
          <w:rStyle w:val="Rimandonotaapidipagina"/>
        </w:rPr>
        <w:footnoteRef/>
      </w:r>
      <w:r w:rsidRPr="00D51F67">
        <w:t xml:space="preserve"> Corte EDU, Sez. II, sent. 4 marzo 2014, </w:t>
      </w:r>
      <w:r w:rsidRPr="00D51F67">
        <w:rPr>
          <w:i/>
        </w:rPr>
        <w:t>Grande Stevens v. Italia</w:t>
      </w:r>
      <w:r w:rsidRPr="00D51F67">
        <w:t>, cit, punto 139.</w:t>
      </w:r>
    </w:p>
  </w:footnote>
  <w:footnote w:id="123">
    <w:p w14:paraId="1455D0B9" w14:textId="20064566" w:rsidR="00A71CC7" w:rsidRPr="00D51F67" w:rsidRDefault="00A71CC7" w:rsidP="004D6212">
      <w:pPr>
        <w:pStyle w:val="Testonotaapidipagina"/>
        <w:ind w:firstLine="454"/>
      </w:pPr>
      <w:r w:rsidRPr="00D51F67">
        <w:rPr>
          <w:rStyle w:val="Rimandonotaapidipagina"/>
        </w:rPr>
        <w:footnoteRef/>
      </w:r>
      <w:r w:rsidRPr="00D51F67">
        <w:t xml:space="preserve"> Corte EDU, Sez. II, sent. 4 marzo 2014, </w:t>
      </w:r>
      <w:r w:rsidRPr="00D51F67">
        <w:rPr>
          <w:i/>
        </w:rPr>
        <w:t>Grande Stevens v. Italia</w:t>
      </w:r>
      <w:r w:rsidRPr="00D51F67">
        <w:t>, cit, punto 13 dell’opinione dissenziente.</w:t>
      </w:r>
    </w:p>
  </w:footnote>
  <w:footnote w:id="124">
    <w:p w14:paraId="45B86FEF" w14:textId="59B137EC" w:rsidR="00A71CC7" w:rsidRPr="00D51F67" w:rsidRDefault="00A71CC7" w:rsidP="004D6212">
      <w:pPr>
        <w:pStyle w:val="Testonotaapidipagina"/>
        <w:ind w:firstLine="454"/>
      </w:pPr>
      <w:r w:rsidRPr="00D51F67">
        <w:rPr>
          <w:rStyle w:val="Rimandonotaapidipagina"/>
        </w:rPr>
        <w:footnoteRef/>
      </w:r>
      <w:r w:rsidRPr="00D51F67">
        <w:t xml:space="preserve"> Corte EDU, Sez. II, sent. 4 marzo 2014, </w:t>
      </w:r>
      <w:r w:rsidRPr="00D51F67">
        <w:rPr>
          <w:i/>
        </w:rPr>
        <w:t>Grande Stevens v. Italia</w:t>
      </w:r>
      <w:r w:rsidRPr="00D51F67">
        <w:t>, cit, punto 13 dell’opinione dissenziente.</w:t>
      </w:r>
    </w:p>
  </w:footnote>
  <w:footnote w:id="125">
    <w:p w14:paraId="6B25AE7D" w14:textId="37DC182B" w:rsidR="00A71CC7" w:rsidRPr="00D51F67" w:rsidRDefault="00A71CC7" w:rsidP="004D6212">
      <w:pPr>
        <w:pStyle w:val="Testonotaapidipagina"/>
        <w:ind w:firstLine="454"/>
      </w:pPr>
      <w:r w:rsidRPr="00D51F67">
        <w:rPr>
          <w:rStyle w:val="Rimandonotaapidipagina"/>
        </w:rPr>
        <w:footnoteRef/>
      </w:r>
      <w:r w:rsidRPr="00D51F67">
        <w:t xml:space="preserve"> Cons. St., Sez. VI,</w:t>
      </w:r>
      <w:r>
        <w:t xml:space="preserve"> </w:t>
      </w:r>
      <w:r w:rsidRPr="00D51F67">
        <w:t>ord. 30 settembre 2014, dep. 2 ottobre 2014, n. 04491/2014 Reg. Prov. Cau., in</w:t>
      </w:r>
      <w:r w:rsidRPr="00D51F67">
        <w:rPr>
          <w:i/>
        </w:rPr>
        <w:t xml:space="preserve"> http://www.giustizia-amministrativa.it</w:t>
      </w:r>
    </w:p>
  </w:footnote>
  <w:footnote w:id="126">
    <w:p w14:paraId="6323C2D7" w14:textId="76455E7C" w:rsidR="00A71CC7" w:rsidRPr="00D51F67" w:rsidRDefault="00A71CC7" w:rsidP="004D6212">
      <w:pPr>
        <w:pStyle w:val="Testonotaapidipagina"/>
        <w:ind w:firstLine="454"/>
      </w:pPr>
      <w:r w:rsidRPr="00D51F67">
        <w:rPr>
          <w:rStyle w:val="Rimandonotaapidipagina"/>
        </w:rPr>
        <w:footnoteRef/>
      </w:r>
      <w:r w:rsidRPr="00D51F67">
        <w:t xml:space="preserve"> Cfr. </w:t>
      </w:r>
      <w:r w:rsidRPr="00D51F67">
        <w:rPr>
          <w:smallCaps/>
        </w:rPr>
        <w:t>Viganò</w:t>
      </w:r>
      <w:r w:rsidRPr="00D51F67">
        <w:t xml:space="preserve">, </w:t>
      </w:r>
      <w:r w:rsidRPr="00D51F67">
        <w:rPr>
          <w:i/>
        </w:rPr>
        <w:t>Doppio binario sanzionatorio e ne bis in idem: verso una diretta applicazione dell’art. 50 della Carta?</w:t>
      </w:r>
      <w:r w:rsidRPr="00D51F67">
        <w:t xml:space="preserve">, in </w:t>
      </w:r>
      <w:r w:rsidRPr="00D51F67">
        <w:rPr>
          <w:i/>
          <w:iCs/>
        </w:rPr>
        <w:t>Diritto Penale Contemporaneo</w:t>
      </w:r>
      <w:r w:rsidRPr="00D51F67">
        <w:t>, 30 giugno 2014, par. 5.</w:t>
      </w:r>
    </w:p>
  </w:footnote>
  <w:footnote w:id="127">
    <w:p w14:paraId="193C1E10" w14:textId="77777777" w:rsidR="00A71CC7" w:rsidRPr="00D51F67" w:rsidRDefault="00A71CC7" w:rsidP="004D6212">
      <w:pPr>
        <w:autoSpaceDE w:val="0"/>
        <w:autoSpaceDN w:val="0"/>
        <w:adjustRightInd w:val="0"/>
        <w:rPr>
          <w:rFonts w:cs="Times New Roman"/>
          <w:sz w:val="20"/>
          <w:szCs w:val="20"/>
        </w:rPr>
      </w:pPr>
      <w:r w:rsidRPr="00D51F67">
        <w:rPr>
          <w:rStyle w:val="Rimandonotaapidipagina"/>
          <w:rFonts w:cs="Times New Roman"/>
          <w:sz w:val="20"/>
          <w:szCs w:val="20"/>
        </w:rPr>
        <w:footnoteRef/>
      </w:r>
      <w:r w:rsidRPr="00D51F67">
        <w:rPr>
          <w:rFonts w:cs="Times New Roman"/>
          <w:sz w:val="20"/>
          <w:szCs w:val="20"/>
        </w:rPr>
        <w:t xml:space="preserve"> Si riporta il testo di tale considerando: </w:t>
      </w:r>
      <w:r w:rsidRPr="00D51F67">
        <w:rPr>
          <w:rFonts w:cs="Times New Roman"/>
          <w:i/>
          <w:sz w:val="20"/>
          <w:szCs w:val="20"/>
        </w:rPr>
        <w:t>«L'esistenza negli Stati membri di differenti autorità competenti, dotate di responsabilità diverse, può generare confusione negli operatori economici. In ogni Stato membro dovrebbe essere designata un'unica autorità competente, cui spetti almeno la responsabilità finale di controllare il rispetto delle disposizioni adottate ai sensi della presente direttiva, nonché la collaborazione internazionale. Tale autorità dovrebbe avere carattere di organo amministrativo, affinché ne sia garantita l'indipendenza nei confronti degli operatori economici e siano prevenuti i conflitti di interessi. Conformemente al diritto nazionale, gli Stati membri dovrebbero assicurare un finanziamento adeguato all'autorità competente. L'autorità dovrebbe disporre di adeguate modalità di consultazione riguardo a eventuali modifiche della normativa nazionale, quali un comitato consultivo composto di rappresentanti degli emittenti, fornitori di servizi finanziari e consumatori, in modo da essere pienamente informata delle loro opinioni e preoccupazioni»</w:t>
      </w:r>
      <w:r w:rsidRPr="00D51F67">
        <w:rPr>
          <w:rFonts w:cs="Times New Roman"/>
          <w:sz w:val="20"/>
          <w:szCs w:val="20"/>
        </w:rPr>
        <w:t>.</w:t>
      </w:r>
    </w:p>
  </w:footnote>
  <w:footnote w:id="128">
    <w:p w14:paraId="4DBABDF7" w14:textId="0BE82EBB" w:rsidR="00A71CC7" w:rsidRPr="00D51F67" w:rsidRDefault="00A71CC7" w:rsidP="004D6212">
      <w:pPr>
        <w:autoSpaceDE w:val="0"/>
        <w:autoSpaceDN w:val="0"/>
        <w:adjustRightInd w:val="0"/>
        <w:rPr>
          <w:rFonts w:cs="Times New Roman"/>
          <w:i/>
          <w:sz w:val="20"/>
          <w:szCs w:val="20"/>
        </w:rPr>
      </w:pPr>
      <w:r w:rsidRPr="00D51F67">
        <w:rPr>
          <w:rStyle w:val="Rimandonotaapidipagina"/>
          <w:rFonts w:cs="Times New Roman"/>
          <w:sz w:val="20"/>
          <w:szCs w:val="20"/>
        </w:rPr>
        <w:footnoteRef/>
      </w:r>
      <w:r w:rsidRPr="00D51F67">
        <w:rPr>
          <w:rFonts w:cs="Times New Roman"/>
          <w:sz w:val="20"/>
          <w:szCs w:val="20"/>
        </w:rPr>
        <w:t xml:space="preserve"> Si riporta il testo di tale comma: </w:t>
      </w:r>
      <w:r w:rsidRPr="00D51F67">
        <w:rPr>
          <w:rFonts w:cs="Times New Roman"/>
          <w:i/>
          <w:sz w:val="20"/>
          <w:szCs w:val="20"/>
        </w:rPr>
        <w:t>«Fatte salve le competenze delle autorità giudiziarie, ogni Stato membro designa un'unica autorità amministrativa competente a vigilare sull'applicazione delle disposizioni adottate ai sensi della presente direttiva»</w:t>
      </w:r>
      <w:r w:rsidRPr="00D51F67">
        <w:rPr>
          <w:rFonts w:cs="Times New Roman"/>
          <w:sz w:val="20"/>
          <w:szCs w:val="20"/>
        </w:rPr>
        <w:t>.</w:t>
      </w:r>
    </w:p>
  </w:footnote>
  <w:footnote w:id="129">
    <w:p w14:paraId="588BBC7D" w14:textId="67800C66" w:rsidR="00A71CC7" w:rsidRPr="00E81EEC" w:rsidRDefault="00A71CC7" w:rsidP="004D6212">
      <w:pPr>
        <w:autoSpaceDE w:val="0"/>
        <w:autoSpaceDN w:val="0"/>
        <w:adjustRightInd w:val="0"/>
        <w:rPr>
          <w:rFonts w:cs="Times New Roman"/>
          <w:i/>
          <w:sz w:val="20"/>
          <w:szCs w:val="20"/>
        </w:rPr>
      </w:pPr>
      <w:r w:rsidRPr="00D51F67">
        <w:rPr>
          <w:rStyle w:val="Rimandonotaapidipagina"/>
          <w:rFonts w:cs="Times New Roman"/>
          <w:sz w:val="20"/>
          <w:szCs w:val="20"/>
        </w:rPr>
        <w:footnoteRef/>
      </w:r>
      <w:r w:rsidRPr="00D51F67">
        <w:rPr>
          <w:rFonts w:cs="Times New Roman"/>
          <w:sz w:val="20"/>
          <w:szCs w:val="20"/>
        </w:rPr>
        <w:t xml:space="preserve"> Si riporta il testo di tale comma: </w:t>
      </w:r>
      <w:r w:rsidRPr="00D51F67">
        <w:rPr>
          <w:rFonts w:cs="Times New Roman"/>
          <w:i/>
          <w:sz w:val="20"/>
          <w:szCs w:val="20"/>
        </w:rPr>
        <w:t>«Qualora l'esistenza di un reato d</w:t>
      </w:r>
      <w:r>
        <w:rPr>
          <w:rFonts w:cs="Times New Roman"/>
          <w:i/>
          <w:sz w:val="20"/>
          <w:szCs w:val="20"/>
        </w:rPr>
        <w:t>ipenda</w:t>
      </w:r>
      <w:r w:rsidRPr="00D51F67">
        <w:rPr>
          <w:rFonts w:cs="Times New Roman"/>
          <w:i/>
          <w:sz w:val="20"/>
          <w:szCs w:val="20"/>
        </w:rPr>
        <w:t xml:space="preserve"> dall'accertamento</w:t>
      </w:r>
      <w:r>
        <w:rPr>
          <w:rFonts w:cs="Times New Roman"/>
          <w:i/>
          <w:sz w:val="20"/>
          <w:szCs w:val="20"/>
        </w:rPr>
        <w:t xml:space="preserve"> </w:t>
      </w:r>
      <w:r w:rsidRPr="00D51F67">
        <w:rPr>
          <w:rFonts w:cs="Times New Roman"/>
          <w:i/>
          <w:sz w:val="20"/>
          <w:szCs w:val="20"/>
        </w:rPr>
        <w:t>di</w:t>
      </w:r>
      <w:r>
        <w:rPr>
          <w:rFonts w:cs="Times New Roman"/>
          <w:i/>
          <w:sz w:val="20"/>
          <w:szCs w:val="20"/>
        </w:rPr>
        <w:t xml:space="preserve"> </w:t>
      </w:r>
      <w:r w:rsidRPr="00D51F67">
        <w:rPr>
          <w:rFonts w:cs="Times New Roman"/>
          <w:i/>
          <w:sz w:val="20"/>
          <w:szCs w:val="20"/>
        </w:rPr>
        <w:t>una violazione</w:t>
      </w:r>
      <w:r>
        <w:rPr>
          <w:rFonts w:cs="Times New Roman"/>
          <w:i/>
          <w:sz w:val="20"/>
          <w:szCs w:val="20"/>
        </w:rPr>
        <w:t xml:space="preserve"> </w:t>
      </w:r>
      <w:r w:rsidRPr="00D51F67">
        <w:rPr>
          <w:rFonts w:cs="Times New Roman"/>
          <w:i/>
          <w:sz w:val="20"/>
          <w:szCs w:val="20"/>
        </w:rPr>
        <w:t>non</w:t>
      </w:r>
      <w:r>
        <w:rPr>
          <w:rFonts w:cs="Times New Roman"/>
          <w:i/>
          <w:sz w:val="20"/>
          <w:szCs w:val="20"/>
        </w:rPr>
        <w:t xml:space="preserve"> </w:t>
      </w:r>
      <w:r w:rsidRPr="00D51F67">
        <w:rPr>
          <w:rFonts w:cs="Times New Roman"/>
          <w:i/>
          <w:sz w:val="20"/>
          <w:szCs w:val="20"/>
        </w:rPr>
        <w:t>costituente</w:t>
      </w:r>
      <w:r>
        <w:rPr>
          <w:rFonts w:cs="Times New Roman"/>
          <w:i/>
          <w:sz w:val="20"/>
          <w:szCs w:val="20"/>
        </w:rPr>
        <w:t xml:space="preserve"> </w:t>
      </w:r>
      <w:r w:rsidRPr="00D51F67">
        <w:rPr>
          <w:rFonts w:cs="Times New Roman"/>
          <w:i/>
          <w:sz w:val="20"/>
          <w:szCs w:val="20"/>
        </w:rPr>
        <w:t>reato,</w:t>
      </w:r>
      <w:r>
        <w:rPr>
          <w:rFonts w:cs="Times New Roman"/>
          <w:i/>
          <w:sz w:val="20"/>
          <w:szCs w:val="20"/>
        </w:rPr>
        <w:t xml:space="preserve"> </w:t>
      </w:r>
      <w:r w:rsidRPr="00D51F67">
        <w:rPr>
          <w:rFonts w:cs="Times New Roman"/>
          <w:i/>
          <w:sz w:val="20"/>
          <w:szCs w:val="20"/>
        </w:rPr>
        <w:t>e</w:t>
      </w:r>
      <w:r>
        <w:rPr>
          <w:rFonts w:cs="Times New Roman"/>
          <w:i/>
          <w:sz w:val="20"/>
          <w:szCs w:val="20"/>
        </w:rPr>
        <w:t xml:space="preserve"> </w:t>
      </w:r>
      <w:r w:rsidRPr="00D51F67">
        <w:rPr>
          <w:rFonts w:cs="Times New Roman"/>
          <w:i/>
          <w:sz w:val="20"/>
          <w:szCs w:val="20"/>
        </w:rPr>
        <w:t>per</w:t>
      </w:r>
      <w:r>
        <w:rPr>
          <w:rFonts w:cs="Times New Roman"/>
          <w:i/>
          <w:sz w:val="20"/>
          <w:szCs w:val="20"/>
        </w:rPr>
        <w:t xml:space="preserve"> </w:t>
      </w:r>
      <w:r w:rsidRPr="00D51F67">
        <w:rPr>
          <w:rFonts w:cs="Times New Roman"/>
          <w:i/>
          <w:sz w:val="20"/>
          <w:szCs w:val="20"/>
        </w:rPr>
        <w:t>questa</w:t>
      </w:r>
      <w:r>
        <w:rPr>
          <w:rFonts w:cs="Times New Roman"/>
          <w:i/>
          <w:sz w:val="20"/>
          <w:szCs w:val="20"/>
        </w:rPr>
        <w:t xml:space="preserve"> </w:t>
      </w:r>
      <w:r w:rsidRPr="00D51F67">
        <w:rPr>
          <w:rFonts w:cs="Times New Roman"/>
          <w:i/>
          <w:sz w:val="20"/>
          <w:szCs w:val="20"/>
        </w:rPr>
        <w:t>non</w:t>
      </w:r>
      <w:r>
        <w:rPr>
          <w:rFonts w:cs="Times New Roman"/>
          <w:i/>
          <w:sz w:val="20"/>
          <w:szCs w:val="20"/>
        </w:rPr>
        <w:t xml:space="preserve"> </w:t>
      </w:r>
      <w:r w:rsidRPr="00D51F67">
        <w:rPr>
          <w:rFonts w:cs="Times New Roman"/>
          <w:i/>
          <w:sz w:val="20"/>
          <w:szCs w:val="20"/>
        </w:rPr>
        <w:t>sia</w:t>
      </w:r>
      <w:r>
        <w:rPr>
          <w:rFonts w:cs="Times New Roman"/>
          <w:i/>
          <w:sz w:val="20"/>
          <w:szCs w:val="20"/>
        </w:rPr>
        <w:t xml:space="preserve"> </w:t>
      </w:r>
      <w:r w:rsidRPr="00D51F67">
        <w:rPr>
          <w:rFonts w:cs="Times New Roman"/>
          <w:i/>
          <w:sz w:val="20"/>
          <w:szCs w:val="20"/>
        </w:rPr>
        <w:t>stato effettuato</w:t>
      </w:r>
      <w:r>
        <w:rPr>
          <w:rFonts w:cs="Times New Roman"/>
          <w:i/>
          <w:sz w:val="20"/>
          <w:szCs w:val="20"/>
        </w:rPr>
        <w:t xml:space="preserve"> </w:t>
      </w:r>
      <w:r w:rsidRPr="00D51F67">
        <w:rPr>
          <w:rFonts w:cs="Times New Roman"/>
          <w:i/>
          <w:sz w:val="20"/>
          <w:szCs w:val="20"/>
        </w:rPr>
        <w:t>il</w:t>
      </w:r>
      <w:r>
        <w:rPr>
          <w:rFonts w:cs="Times New Roman"/>
          <w:i/>
          <w:sz w:val="20"/>
          <w:szCs w:val="20"/>
        </w:rPr>
        <w:t xml:space="preserve"> </w:t>
      </w:r>
      <w:r w:rsidRPr="00D51F67">
        <w:rPr>
          <w:rFonts w:cs="Times New Roman"/>
          <w:i/>
          <w:sz w:val="20"/>
          <w:szCs w:val="20"/>
        </w:rPr>
        <w:t>pagamento</w:t>
      </w:r>
      <w:r>
        <w:rPr>
          <w:rFonts w:cs="Times New Roman"/>
          <w:i/>
          <w:sz w:val="20"/>
          <w:szCs w:val="20"/>
        </w:rPr>
        <w:t xml:space="preserve"> </w:t>
      </w:r>
      <w:r w:rsidRPr="00D51F67">
        <w:rPr>
          <w:rFonts w:cs="Times New Roman"/>
          <w:i/>
          <w:sz w:val="20"/>
          <w:szCs w:val="20"/>
        </w:rPr>
        <w:t>in</w:t>
      </w:r>
      <w:r>
        <w:rPr>
          <w:rFonts w:cs="Times New Roman"/>
          <w:i/>
          <w:sz w:val="20"/>
          <w:szCs w:val="20"/>
        </w:rPr>
        <w:t xml:space="preserve"> </w:t>
      </w:r>
      <w:r w:rsidRPr="00D51F67">
        <w:rPr>
          <w:rFonts w:cs="Times New Roman"/>
          <w:i/>
          <w:sz w:val="20"/>
          <w:szCs w:val="20"/>
        </w:rPr>
        <w:t>misura</w:t>
      </w:r>
      <w:r>
        <w:rPr>
          <w:rFonts w:cs="Times New Roman"/>
          <w:i/>
          <w:sz w:val="20"/>
          <w:szCs w:val="20"/>
        </w:rPr>
        <w:t xml:space="preserve"> </w:t>
      </w:r>
      <w:r w:rsidRPr="00D51F67">
        <w:rPr>
          <w:rFonts w:cs="Times New Roman"/>
          <w:i/>
          <w:sz w:val="20"/>
          <w:szCs w:val="20"/>
        </w:rPr>
        <w:t>ridotta,</w:t>
      </w:r>
      <w:r>
        <w:rPr>
          <w:rFonts w:cs="Times New Roman"/>
          <w:i/>
          <w:sz w:val="20"/>
          <w:szCs w:val="20"/>
        </w:rPr>
        <w:t xml:space="preserve"> </w:t>
      </w:r>
      <w:r w:rsidRPr="00D51F67">
        <w:rPr>
          <w:rFonts w:cs="Times New Roman"/>
          <w:i/>
          <w:sz w:val="20"/>
          <w:szCs w:val="20"/>
        </w:rPr>
        <w:t>il</w:t>
      </w:r>
      <w:r>
        <w:rPr>
          <w:rFonts w:cs="Times New Roman"/>
          <w:i/>
          <w:sz w:val="20"/>
          <w:szCs w:val="20"/>
        </w:rPr>
        <w:t xml:space="preserve"> </w:t>
      </w:r>
      <w:r w:rsidRPr="00D51F67">
        <w:rPr>
          <w:rFonts w:cs="Times New Roman"/>
          <w:i/>
          <w:sz w:val="20"/>
          <w:szCs w:val="20"/>
        </w:rPr>
        <w:t>giudice</w:t>
      </w:r>
      <w:r>
        <w:rPr>
          <w:rFonts w:cs="Times New Roman"/>
          <w:i/>
          <w:sz w:val="20"/>
          <w:szCs w:val="20"/>
        </w:rPr>
        <w:t xml:space="preserve"> </w:t>
      </w:r>
      <w:r w:rsidRPr="00D51F67">
        <w:rPr>
          <w:rFonts w:cs="Times New Roman"/>
          <w:i/>
          <w:sz w:val="20"/>
          <w:szCs w:val="20"/>
        </w:rPr>
        <w:t>penale competente a conoscere del reato è pure competente a decidere</w:t>
      </w:r>
      <w:r>
        <w:rPr>
          <w:rFonts w:cs="Times New Roman"/>
          <w:i/>
          <w:sz w:val="20"/>
          <w:szCs w:val="20"/>
        </w:rPr>
        <w:t xml:space="preserve"> </w:t>
      </w:r>
      <w:r w:rsidRPr="00D51F67">
        <w:rPr>
          <w:rFonts w:cs="Times New Roman"/>
          <w:i/>
          <w:sz w:val="20"/>
          <w:szCs w:val="20"/>
        </w:rPr>
        <w:t>sulla predetta violazione e ad applicare con la</w:t>
      </w:r>
      <w:r>
        <w:rPr>
          <w:rFonts w:cs="Times New Roman"/>
          <w:i/>
          <w:sz w:val="20"/>
          <w:szCs w:val="20"/>
        </w:rPr>
        <w:t xml:space="preserve"> </w:t>
      </w:r>
      <w:r w:rsidRPr="00D51F67">
        <w:rPr>
          <w:rFonts w:cs="Times New Roman"/>
          <w:i/>
          <w:sz w:val="20"/>
          <w:szCs w:val="20"/>
        </w:rPr>
        <w:t>sentenza</w:t>
      </w:r>
      <w:r>
        <w:rPr>
          <w:rFonts w:cs="Times New Roman"/>
          <w:i/>
          <w:sz w:val="20"/>
          <w:szCs w:val="20"/>
        </w:rPr>
        <w:t xml:space="preserve"> </w:t>
      </w:r>
      <w:r w:rsidRPr="00D51F67">
        <w:rPr>
          <w:rFonts w:cs="Times New Roman"/>
          <w:i/>
          <w:sz w:val="20"/>
          <w:szCs w:val="20"/>
        </w:rPr>
        <w:t>di</w:t>
      </w:r>
      <w:r>
        <w:rPr>
          <w:rFonts w:cs="Times New Roman"/>
          <w:i/>
          <w:sz w:val="20"/>
          <w:szCs w:val="20"/>
        </w:rPr>
        <w:t xml:space="preserve"> </w:t>
      </w:r>
      <w:r w:rsidRPr="00D51F67">
        <w:rPr>
          <w:rFonts w:cs="Times New Roman"/>
          <w:i/>
          <w:sz w:val="20"/>
          <w:szCs w:val="20"/>
        </w:rPr>
        <w:t>condanna</w:t>
      </w:r>
      <w:r>
        <w:rPr>
          <w:rFonts w:cs="Times New Roman"/>
          <w:i/>
          <w:sz w:val="20"/>
          <w:szCs w:val="20"/>
        </w:rPr>
        <w:t xml:space="preserve"> </w:t>
      </w:r>
      <w:r w:rsidRPr="00D51F67">
        <w:rPr>
          <w:rFonts w:cs="Times New Roman"/>
          <w:i/>
          <w:sz w:val="20"/>
          <w:szCs w:val="20"/>
        </w:rPr>
        <w:t>la sanzione stabilita dalla legge per la violazione stes</w:t>
      </w:r>
      <w:r w:rsidRPr="00830147">
        <w:rPr>
          <w:rFonts w:cs="Times New Roman"/>
          <w:i/>
          <w:sz w:val="20"/>
          <w:szCs w:val="20"/>
        </w:rPr>
        <w:t>sa»</w:t>
      </w:r>
      <w:r w:rsidRPr="00830147">
        <w:rPr>
          <w:rFonts w:cs="Times New Roman"/>
          <w:sz w:val="20"/>
          <w:szCs w:val="20"/>
        </w:rPr>
        <w:t>.</w:t>
      </w:r>
    </w:p>
  </w:footnote>
  <w:footnote w:id="130">
    <w:p w14:paraId="6EE40900" w14:textId="32B3AA42" w:rsidR="00A71CC7" w:rsidRPr="00E80784" w:rsidRDefault="00A71CC7" w:rsidP="00E67064">
      <w:pPr>
        <w:pStyle w:val="Default"/>
        <w:widowControl/>
        <w:ind w:firstLine="454"/>
        <w:jc w:val="both"/>
        <w:rPr>
          <w:rFonts w:ascii="Times New Roman" w:hAnsi="Times New Roman" w:cs="Times New Roman"/>
          <w:color w:val="auto"/>
          <w:sz w:val="20"/>
          <w:szCs w:val="20"/>
        </w:rPr>
      </w:pPr>
      <w:r w:rsidRPr="00E81EEC">
        <w:rPr>
          <w:rStyle w:val="Rimandonotaapidipagina"/>
          <w:rFonts w:ascii="Times New Roman" w:hAnsi="Times New Roman" w:cs="Times New Roman"/>
          <w:sz w:val="20"/>
          <w:szCs w:val="20"/>
        </w:rPr>
        <w:footnoteRef/>
      </w:r>
      <w:r w:rsidRPr="00E81EEC">
        <w:rPr>
          <w:rFonts w:ascii="Times New Roman" w:hAnsi="Times New Roman" w:cs="Times New Roman"/>
          <w:sz w:val="20"/>
          <w:szCs w:val="20"/>
        </w:rPr>
        <w:t xml:space="preserve"> Si r</w:t>
      </w:r>
      <w:r w:rsidRPr="00E80784">
        <w:rPr>
          <w:rFonts w:ascii="Times New Roman" w:hAnsi="Times New Roman" w:cs="Times New Roman"/>
          <w:color w:val="auto"/>
          <w:sz w:val="20"/>
          <w:szCs w:val="20"/>
        </w:rPr>
        <w:t xml:space="preserve">iporta il testo di tale comma: </w:t>
      </w:r>
      <w:r w:rsidRPr="00E80784">
        <w:rPr>
          <w:rFonts w:ascii="Times New Roman" w:hAnsi="Times New Roman" w:cs="Times New Roman"/>
          <w:i/>
          <w:color w:val="auto"/>
          <w:sz w:val="20"/>
          <w:szCs w:val="20"/>
        </w:rPr>
        <w:t>«Ogni persona accusata di un reato è presunta innocente fino a quando la sua colpevolezza non sia stata legalmente accertata»</w:t>
      </w:r>
      <w:r w:rsidRPr="00E80784">
        <w:rPr>
          <w:rFonts w:ascii="Times New Roman" w:hAnsi="Times New Roman" w:cs="Times New Roman"/>
          <w:color w:val="auto"/>
          <w:sz w:val="20"/>
          <w:szCs w:val="20"/>
        </w:rPr>
        <w:t>.</w:t>
      </w:r>
    </w:p>
  </w:footnote>
  <w:footnote w:id="131">
    <w:p w14:paraId="68BC4588" w14:textId="1CA20073" w:rsidR="00A71CC7" w:rsidRPr="00E80784" w:rsidRDefault="00A71CC7" w:rsidP="00E67064">
      <w:pPr>
        <w:pStyle w:val="Testonotaapidipagina"/>
        <w:ind w:firstLine="454"/>
      </w:pPr>
      <w:r w:rsidRPr="00E80784">
        <w:rPr>
          <w:rStyle w:val="Rimandonotaapidipagina"/>
        </w:rPr>
        <w:footnoteRef/>
      </w:r>
      <w:r w:rsidRPr="00E80784">
        <w:t xml:space="preserve"> Cfr </w:t>
      </w:r>
      <w:r w:rsidRPr="00E80784">
        <w:rPr>
          <w:i/>
        </w:rPr>
        <w:t>supra</w:t>
      </w:r>
      <w:r w:rsidRPr="00E80784">
        <w:t>.</w:t>
      </w:r>
    </w:p>
  </w:footnote>
  <w:footnote w:id="132">
    <w:p w14:paraId="4F40E474" w14:textId="77777777" w:rsidR="00A71CC7" w:rsidRPr="00E80784" w:rsidRDefault="00A71CC7" w:rsidP="00E67064">
      <w:pPr>
        <w:autoSpaceDE w:val="0"/>
        <w:autoSpaceDN w:val="0"/>
        <w:adjustRightInd w:val="0"/>
        <w:rPr>
          <w:rFonts w:cs="Times New Roman"/>
          <w:i/>
          <w:sz w:val="20"/>
          <w:szCs w:val="20"/>
        </w:rPr>
      </w:pPr>
      <w:r w:rsidRPr="00E80784">
        <w:rPr>
          <w:rStyle w:val="Rimandonotaapidipagina"/>
          <w:rFonts w:cs="Times New Roman"/>
          <w:sz w:val="20"/>
          <w:szCs w:val="20"/>
        </w:rPr>
        <w:footnoteRef/>
      </w:r>
      <w:r w:rsidRPr="00E80784">
        <w:rPr>
          <w:rFonts w:cs="Times New Roman"/>
          <w:sz w:val="20"/>
          <w:szCs w:val="20"/>
        </w:rPr>
        <w:t xml:space="preserve"> Si riporta il testo di tale articolo </w:t>
      </w:r>
      <w:r w:rsidRPr="00E80784">
        <w:rPr>
          <w:rFonts w:cs="Times New Roman"/>
          <w:i/>
          <w:sz w:val="20"/>
          <w:szCs w:val="20"/>
        </w:rPr>
        <w:t>«Chi vuol far valere un diritto in giudizio deve provare i fatti che ne costituiscono il fondamento.</w:t>
      </w:r>
    </w:p>
    <w:p w14:paraId="0789081E" w14:textId="77777777" w:rsidR="00A71CC7" w:rsidRPr="00E80784" w:rsidRDefault="00A71CC7" w:rsidP="00E67064">
      <w:pPr>
        <w:pStyle w:val="Testonotaapidipagina"/>
        <w:ind w:firstLine="454"/>
      </w:pPr>
      <w:r w:rsidRPr="00E80784">
        <w:rPr>
          <w:i/>
        </w:rPr>
        <w:t>Chi eccepisce l'inefficacia di tali fatti ovvero eccepisce che il diritto si è modificato o estinto deve provare i fatti su cui l'eccezione si fonda»</w:t>
      </w:r>
      <w:r w:rsidRPr="00E80784">
        <w:t>.</w:t>
      </w:r>
    </w:p>
  </w:footnote>
  <w:footnote w:id="133">
    <w:p w14:paraId="5B757031" w14:textId="5A22B53B" w:rsidR="00A71CC7" w:rsidRPr="00E67064" w:rsidRDefault="00A71CC7" w:rsidP="00E67064">
      <w:pPr>
        <w:widowControl w:val="0"/>
        <w:autoSpaceDE w:val="0"/>
        <w:autoSpaceDN w:val="0"/>
        <w:adjustRightInd w:val="0"/>
        <w:rPr>
          <w:rFonts w:cs="Times New Roman"/>
          <w:sz w:val="20"/>
          <w:szCs w:val="20"/>
        </w:rPr>
      </w:pPr>
      <w:r w:rsidRPr="00E80784">
        <w:rPr>
          <w:rStyle w:val="Rimandonotaapidipagina"/>
          <w:rFonts w:cs="Times New Roman"/>
          <w:sz w:val="20"/>
          <w:szCs w:val="20"/>
        </w:rPr>
        <w:footnoteRef/>
      </w:r>
      <w:r w:rsidRPr="00E80784">
        <w:rPr>
          <w:rFonts w:cs="Times New Roman"/>
          <w:sz w:val="20"/>
          <w:szCs w:val="20"/>
        </w:rPr>
        <w:t xml:space="preserve"> </w:t>
      </w:r>
      <w:r w:rsidRPr="00E80784">
        <w:rPr>
          <w:rFonts w:eastAsia="Times New Roman" w:cs="Times New Roman"/>
          <w:sz w:val="20"/>
          <w:szCs w:val="20"/>
        </w:rPr>
        <w:t xml:space="preserve">Cass. civ. Sez. II, </w:t>
      </w:r>
      <w:r>
        <w:rPr>
          <w:rStyle w:val="postbox-detected-content"/>
          <w:rFonts w:eastAsia="Times New Roman" w:cs="Times New Roman"/>
          <w:sz w:val="20"/>
          <w:szCs w:val="20"/>
        </w:rPr>
        <w:t>9 dicembre 2013</w:t>
      </w:r>
      <w:r w:rsidRPr="00E80784">
        <w:rPr>
          <w:rStyle w:val="postbox-detected-content"/>
          <w:rFonts w:eastAsia="Times New Roman" w:cs="Times New Roman"/>
          <w:sz w:val="20"/>
          <w:szCs w:val="20"/>
        </w:rPr>
        <w:t>,</w:t>
      </w:r>
      <w:r>
        <w:rPr>
          <w:rFonts w:eastAsia="Times New Roman" w:cs="Times New Roman"/>
          <w:sz w:val="20"/>
          <w:szCs w:val="20"/>
        </w:rPr>
        <w:t xml:space="preserve"> n. 27432,</w:t>
      </w:r>
      <w:r w:rsidRPr="00E80784">
        <w:rPr>
          <w:rFonts w:eastAsia="Times New Roman" w:cs="Times New Roman"/>
          <w:sz w:val="20"/>
          <w:szCs w:val="20"/>
        </w:rPr>
        <w:t xml:space="preserve"> </w:t>
      </w:r>
      <w:r w:rsidRPr="00E80784">
        <w:rPr>
          <w:rFonts w:eastAsia="Times New Roman" w:cs="Times New Roman"/>
          <w:i/>
          <w:sz w:val="20"/>
          <w:szCs w:val="20"/>
        </w:rPr>
        <w:t>Banca Italia c. Magli</w:t>
      </w:r>
      <w:r w:rsidRPr="00E80784">
        <w:rPr>
          <w:rFonts w:eastAsia="Times New Roman" w:cs="Times New Roman"/>
          <w:sz w:val="20"/>
          <w:szCs w:val="20"/>
        </w:rPr>
        <w:t xml:space="preserve">, secondo la quale </w:t>
      </w:r>
      <w:r w:rsidRPr="00E80784">
        <w:rPr>
          <w:rFonts w:eastAsia="Times New Roman" w:cs="Times New Roman"/>
          <w:i/>
          <w:sz w:val="20"/>
          <w:szCs w:val="20"/>
        </w:rPr>
        <w:t>«</w:t>
      </w:r>
      <w:r w:rsidRPr="00E80784">
        <w:rPr>
          <w:rFonts w:cs="Times New Roman"/>
          <w:i/>
          <w:sz w:val="20"/>
          <w:szCs w:val="20"/>
        </w:rPr>
        <w:t>per le violazioni colpite da sanzione amministrativa è richiesta la coscienza e volontà della condotta attiva o omissiva sia essa dolosa o colposa, deve essere inteso nel senso della sufficienza dei suddetti es</w:t>
      </w:r>
      <w:r w:rsidRPr="00E67064">
        <w:rPr>
          <w:rFonts w:cs="Times New Roman"/>
          <w:i/>
          <w:sz w:val="20"/>
          <w:szCs w:val="20"/>
        </w:rPr>
        <w:t>tremi, senza che occorra la concreta dimostrazione del dolo o della colpa, atteso che la norma pone una presunzione di colpa in ordine al fatto vietato a carico di colui che lo abbia commesso, riservando poi a questi l’onere di provare di aver agito senza colpa</w:t>
      </w:r>
      <w:r w:rsidRPr="00E67064">
        <w:rPr>
          <w:rFonts w:eastAsia="Times New Roman" w:cs="Times New Roman"/>
          <w:i/>
          <w:sz w:val="20"/>
          <w:szCs w:val="20"/>
        </w:rPr>
        <w:t>»</w:t>
      </w:r>
      <w:r w:rsidRPr="00E67064">
        <w:rPr>
          <w:rFonts w:eastAsia="Times New Roman" w:cs="Times New Roman"/>
          <w:sz w:val="20"/>
          <w:szCs w:val="20"/>
        </w:rPr>
        <w:t>.</w:t>
      </w:r>
    </w:p>
  </w:footnote>
  <w:footnote w:id="134">
    <w:p w14:paraId="6F2520AE" w14:textId="47191DBB" w:rsidR="00A71CC7" w:rsidRPr="00F1229F" w:rsidRDefault="00A71CC7" w:rsidP="00F1229F">
      <w:pPr>
        <w:pStyle w:val="Testonotaapidipagina"/>
        <w:ind w:firstLine="454"/>
      </w:pPr>
      <w:r w:rsidRPr="00E67064">
        <w:rPr>
          <w:rStyle w:val="Rimandonotaapidipagina"/>
        </w:rPr>
        <w:footnoteRef/>
      </w:r>
      <w:r w:rsidRPr="00E67064">
        <w:t xml:space="preserve"> </w:t>
      </w:r>
      <w:r w:rsidRPr="00E67064">
        <w:rPr>
          <w:rFonts w:eastAsia="Times New Roman"/>
        </w:rPr>
        <w:t>Si rammenta che le Sezioni Unite della Suprema Corte hanno affermato nella sentenza 12545/1992, fondamentale in mate</w:t>
      </w:r>
      <w:r>
        <w:rPr>
          <w:rFonts w:eastAsia="Times New Roman"/>
        </w:rPr>
        <w:t xml:space="preserve">ria, che il processo verbale di </w:t>
      </w:r>
      <w:r w:rsidRPr="00E67064">
        <w:rPr>
          <w:rFonts w:eastAsia="Times New Roman"/>
        </w:rPr>
        <w:t>accertamento di una violazi</w:t>
      </w:r>
      <w:r w:rsidRPr="00F1229F">
        <w:rPr>
          <w:rFonts w:eastAsia="Times New Roman"/>
        </w:rPr>
        <w:t>one amministrativa, redatto da pubblico ufficiale, è l’espressione di uno specifico potere di documentazione, con effetti costitutivi sostanziali, conferito dalla legge al pubblico ufficiale e che, pertanto, esso fa fede fino a querela di falso, con riferimento ai fatti attestati come compiuti dal pubblico ufficiale e avvenuti in sua presenza, nonché in ordine alla provenienza dal pubblico ufficiale dell’atto stesso ed alle formulazioni delle dichiarazioni fatte dai soggetti ascoltati ed in primo luogo dalle parti della vicenda, salva la prova contraria in ordine al profilo c.d. intrinseco delle dichiarazioni, cioè all’effettiva verità dei fatti oggetto delle dichiarazioni.</w:t>
      </w:r>
    </w:p>
  </w:footnote>
  <w:footnote w:id="135">
    <w:p w14:paraId="16FDBA58" w14:textId="20633C46" w:rsidR="00A71CC7" w:rsidRPr="00F1229F" w:rsidRDefault="00A71CC7" w:rsidP="00F1229F">
      <w:pPr>
        <w:pStyle w:val="Testonotaapidipagina"/>
        <w:ind w:firstLine="454"/>
      </w:pPr>
      <w:r w:rsidRPr="00F1229F">
        <w:rPr>
          <w:rStyle w:val="Rimandonotaapidipagina"/>
        </w:rPr>
        <w:footnoteRef/>
      </w:r>
      <w:r w:rsidRPr="00F1229F">
        <w:t xml:space="preserve"> Cfr. </w:t>
      </w:r>
      <w:r w:rsidRPr="00F1229F">
        <w:rPr>
          <w:i/>
        </w:rPr>
        <w:t>supra</w:t>
      </w:r>
      <w:r w:rsidRPr="00F1229F">
        <w:t>.</w:t>
      </w:r>
    </w:p>
  </w:footnote>
  <w:footnote w:id="136">
    <w:p w14:paraId="2291E1C0" w14:textId="27599D39" w:rsidR="00A71CC7" w:rsidRPr="00F1229F" w:rsidRDefault="00A71CC7" w:rsidP="00F1229F">
      <w:pPr>
        <w:autoSpaceDE w:val="0"/>
        <w:autoSpaceDN w:val="0"/>
        <w:adjustRightInd w:val="0"/>
        <w:rPr>
          <w:rFonts w:cs="Times New Roman"/>
          <w:sz w:val="20"/>
          <w:szCs w:val="20"/>
        </w:rPr>
      </w:pPr>
      <w:r w:rsidRPr="00F1229F">
        <w:rPr>
          <w:rStyle w:val="Rimandonotaapidipagina"/>
          <w:rFonts w:cs="Times New Roman"/>
          <w:sz w:val="20"/>
          <w:szCs w:val="20"/>
        </w:rPr>
        <w:footnoteRef/>
      </w:r>
      <w:r w:rsidRPr="00F1229F">
        <w:rPr>
          <w:rFonts w:cs="Times New Roman"/>
          <w:sz w:val="20"/>
          <w:szCs w:val="20"/>
        </w:rPr>
        <w:t xml:space="preserve"> In tal senso cfr. </w:t>
      </w:r>
      <w:r w:rsidRPr="00F1229F">
        <w:rPr>
          <w:rFonts w:cs="Times New Roman"/>
          <w:smallCaps/>
          <w:sz w:val="20"/>
          <w:szCs w:val="20"/>
        </w:rPr>
        <w:t>Mucciarelli</w:t>
      </w:r>
      <w:r w:rsidRPr="00F1229F">
        <w:rPr>
          <w:rFonts w:cs="Times New Roman"/>
          <w:sz w:val="20"/>
          <w:szCs w:val="20"/>
        </w:rPr>
        <w:t xml:space="preserve">, </w:t>
      </w:r>
      <w:r w:rsidRPr="00F1229F">
        <w:rPr>
          <w:rFonts w:cs="Times New Roman"/>
          <w:i/>
          <w:sz w:val="20"/>
          <w:szCs w:val="20"/>
        </w:rPr>
        <w:t>Primato della giurisdizione e diritto economico sanzionatorio: a proposito di market abuse</w:t>
      </w:r>
      <w:r w:rsidRPr="00F1229F">
        <w:rPr>
          <w:rFonts w:cs="Times New Roman"/>
          <w:sz w:val="20"/>
          <w:szCs w:val="20"/>
        </w:rPr>
        <w:t xml:space="preserve">, in </w:t>
      </w:r>
      <w:r w:rsidRPr="00F1229F">
        <w:rPr>
          <w:rFonts w:cs="Times New Roman"/>
          <w:i/>
          <w:sz w:val="20"/>
          <w:szCs w:val="20"/>
        </w:rPr>
        <w:t>Diritto penale e processo</w:t>
      </w:r>
      <w:r w:rsidRPr="00F1229F">
        <w:rPr>
          <w:rFonts w:cs="Times New Roman"/>
          <w:sz w:val="20"/>
          <w:szCs w:val="20"/>
        </w:rPr>
        <w:t>, 2/2006, 140.</w:t>
      </w:r>
    </w:p>
  </w:footnote>
  <w:footnote w:id="137">
    <w:p w14:paraId="4F66363E" w14:textId="1EC8CC3A" w:rsidR="00A71CC7" w:rsidRDefault="00A71CC7" w:rsidP="00F1229F">
      <w:pPr>
        <w:pStyle w:val="Testonotaapidipagina"/>
        <w:ind w:firstLine="454"/>
      </w:pPr>
      <w:r w:rsidRPr="00F1229F">
        <w:rPr>
          <w:rStyle w:val="Rimandonotaapidipagina"/>
        </w:rPr>
        <w:footnoteRef/>
      </w:r>
      <w:r w:rsidRPr="00F1229F">
        <w:t xml:space="preserve"> </w:t>
      </w:r>
      <w:r>
        <w:t xml:space="preserve">Cass. civ., </w:t>
      </w:r>
      <w:r w:rsidRPr="00F1229F">
        <w:rPr>
          <w:rFonts w:eastAsia="Times New Roman"/>
        </w:rPr>
        <w:t xml:space="preserve">Sez. I, </w:t>
      </w:r>
      <w:r>
        <w:rPr>
          <w:rFonts w:eastAsia="Times New Roman"/>
        </w:rPr>
        <w:t>sent.</w:t>
      </w:r>
      <w:r w:rsidRPr="00F1229F">
        <w:rPr>
          <w:rFonts w:eastAsia="Times New Roman"/>
        </w:rPr>
        <w:t xml:space="preserve"> </w:t>
      </w:r>
      <w:r w:rsidRPr="00F1229F">
        <w:rPr>
          <w:rStyle w:val="postbox-detected-content"/>
          <w:rFonts w:eastAsia="Times New Roman"/>
        </w:rPr>
        <w:t>29</w:t>
      </w:r>
      <w:r>
        <w:rPr>
          <w:rStyle w:val="postbox-detected-content"/>
          <w:rFonts w:eastAsia="Times New Roman"/>
        </w:rPr>
        <w:t xml:space="preserve"> luglio </w:t>
      </w:r>
      <w:r w:rsidRPr="00F1229F">
        <w:rPr>
          <w:rStyle w:val="postbox-detected-content"/>
          <w:rFonts w:eastAsia="Times New Roman"/>
        </w:rPr>
        <w:t>2009</w:t>
      </w:r>
      <w:r>
        <w:rPr>
          <w:rStyle w:val="postbox-detected-content"/>
          <w:rFonts w:eastAsia="Times New Roman"/>
        </w:rPr>
        <w:t>,</w:t>
      </w:r>
      <w:r>
        <w:rPr>
          <w:rFonts w:eastAsia="Times New Roman"/>
        </w:rPr>
        <w:t xml:space="preserve"> </w:t>
      </w:r>
      <w:r w:rsidRPr="00F1229F">
        <w:rPr>
          <w:rFonts w:eastAsia="Times New Roman"/>
        </w:rPr>
        <w:t xml:space="preserve">ud. </w:t>
      </w:r>
      <w:r w:rsidRPr="00F1229F">
        <w:rPr>
          <w:rStyle w:val="postbox-detected-content"/>
          <w:rFonts w:eastAsia="Times New Roman"/>
          <w:color w:val="000000"/>
        </w:rPr>
        <w:t>13</w:t>
      </w:r>
      <w:r>
        <w:rPr>
          <w:rStyle w:val="postbox-detected-content"/>
          <w:rFonts w:eastAsia="Times New Roman"/>
          <w:color w:val="000000"/>
        </w:rPr>
        <w:t xml:space="preserve"> maggio 2009</w:t>
      </w:r>
      <w:r w:rsidRPr="00F1229F">
        <w:rPr>
          <w:rStyle w:val="postbox-detected-content"/>
          <w:rFonts w:eastAsia="Times New Roman"/>
          <w:color w:val="000000"/>
        </w:rPr>
        <w:t>,</w:t>
      </w:r>
      <w:r w:rsidRPr="00F1229F">
        <w:rPr>
          <w:rFonts w:eastAsia="Times New Roman"/>
        </w:rPr>
        <w:t xml:space="preserve"> </w:t>
      </w:r>
      <w:r w:rsidRPr="0044752D">
        <w:rPr>
          <w:rFonts w:eastAsia="Times New Roman"/>
          <w:i/>
        </w:rPr>
        <w:t>Anas S.P.A. c. M.B.</w:t>
      </w:r>
      <w:r>
        <w:rPr>
          <w:rFonts w:eastAsia="Times New Roman"/>
        </w:rPr>
        <w:t xml:space="preserve">, secondo la quale </w:t>
      </w:r>
      <w:r w:rsidRPr="00F1229F">
        <w:rPr>
          <w:rFonts w:eastAsia="Times New Roman"/>
          <w:i/>
        </w:rPr>
        <w:t xml:space="preserve">«la liquidazione equitativa del danno patrimoniale, ai sensi degli </w:t>
      </w:r>
      <w:r w:rsidRPr="00F1229F">
        <w:rPr>
          <w:rFonts w:eastAsia="Times New Roman"/>
          <w:i/>
          <w:iCs/>
        </w:rPr>
        <w:t>artt. 2056 e 1226 cod. civ.</w:t>
      </w:r>
      <w:r w:rsidRPr="00F1229F">
        <w:rPr>
          <w:rFonts w:eastAsia="Times New Roman"/>
          <w:i/>
        </w:rPr>
        <w:t>, richiede comunque la prova, anche presuntiva, circa la certezza della sua reale esistenza, prova in difetto della quale non vi è spazio per alcuna for</w:t>
      </w:r>
      <w:r w:rsidRPr="00F1229F">
        <w:rPr>
          <w:rStyle w:val="postbox-detected-content"/>
          <w:rFonts w:eastAsia="Times New Roman"/>
          <w:i/>
        </w:rPr>
        <w:t>ma</w:t>
      </w:r>
      <w:r w:rsidRPr="00F1229F">
        <w:rPr>
          <w:rFonts w:eastAsia="Times New Roman"/>
          <w:i/>
        </w:rPr>
        <w:t xml:space="preserve"> di attribuzione patrimoniale. Occorre pertanto che dagli atti risultino elementi oggettivi di carattere lesivo, la cui proiezione futura nella sfera patrimoniale del soggetto sia certa, e che si traducano in un pregiudizio economicamente valutabile ed apprezzabile, che non sia meramente potenziale o possibile, ma che appaia invece - anche semplicemente in considerazione dell'"id quod plerumque accidit" - connesso all'illecito in termini di certezza o, almeno, con </w:t>
      </w:r>
      <w:r>
        <w:rPr>
          <w:rFonts w:eastAsia="Times New Roman"/>
          <w:i/>
        </w:rPr>
        <w:t>un grado di elevata probabilità</w:t>
      </w:r>
      <w:r w:rsidRPr="00F1229F">
        <w:rPr>
          <w:rFonts w:eastAsia="Times New Roman"/>
          <w:i/>
        </w:rPr>
        <w:t>»</w:t>
      </w:r>
      <w:r>
        <w:rPr>
          <w:rFonts w:eastAsia="Times New Roman"/>
        </w:rPr>
        <w:t>.</w:t>
      </w:r>
    </w:p>
  </w:footnote>
  <w:footnote w:id="138">
    <w:p w14:paraId="5D4D6B4C" w14:textId="5DEF0632" w:rsidR="00A71CC7" w:rsidRPr="00FB12A8" w:rsidRDefault="00A71CC7" w:rsidP="0002344A">
      <w:pPr>
        <w:pStyle w:val="Testonotaapidipagina"/>
        <w:ind w:firstLine="454"/>
      </w:pPr>
      <w:r w:rsidRPr="00FB12A8">
        <w:rPr>
          <w:rStyle w:val="Rimandonotaapidipagina"/>
        </w:rPr>
        <w:footnoteRef/>
      </w:r>
      <w:r w:rsidRPr="00FB12A8">
        <w:t xml:space="preserve"> Cfr. </w:t>
      </w:r>
      <w:r w:rsidRPr="00FB12A8">
        <w:rPr>
          <w:i/>
        </w:rPr>
        <w:t>supra</w:t>
      </w:r>
      <w:r w:rsidRPr="00FB12A8">
        <w:t>.</w:t>
      </w:r>
    </w:p>
  </w:footnote>
  <w:footnote w:id="139">
    <w:p w14:paraId="3C9E705A" w14:textId="38AA23AB" w:rsidR="00A71CC7" w:rsidRPr="00FB12A8" w:rsidRDefault="00A71CC7" w:rsidP="0002344A">
      <w:pPr>
        <w:pStyle w:val="Testonotaapidipagina"/>
        <w:ind w:firstLine="454"/>
      </w:pPr>
      <w:r w:rsidRPr="00FB12A8">
        <w:rPr>
          <w:rStyle w:val="Rimandonotaapidipagina"/>
        </w:rPr>
        <w:footnoteRef/>
      </w:r>
      <w:r w:rsidRPr="00FB12A8">
        <w:t xml:space="preserve"> Cfr. </w:t>
      </w:r>
      <w:r w:rsidRPr="00FB12A8">
        <w:rPr>
          <w:i/>
        </w:rPr>
        <w:t>supra</w:t>
      </w:r>
      <w:r w:rsidRPr="00FB12A8">
        <w:t>.</w:t>
      </w:r>
    </w:p>
  </w:footnote>
  <w:footnote w:id="140">
    <w:p w14:paraId="6F87428C" w14:textId="3BF84407" w:rsidR="00A71CC7" w:rsidRPr="00ED4677" w:rsidRDefault="00A71CC7" w:rsidP="0002344A">
      <w:pPr>
        <w:pStyle w:val="CM1"/>
        <w:widowControl/>
        <w:ind w:firstLine="454"/>
        <w:jc w:val="both"/>
        <w:rPr>
          <w:rFonts w:ascii="Times New Roman" w:hAnsi="Times New Roman"/>
          <w:sz w:val="20"/>
          <w:szCs w:val="20"/>
        </w:rPr>
      </w:pPr>
      <w:r>
        <w:rPr>
          <w:rStyle w:val="Rimandonotaapidipagina"/>
        </w:rPr>
        <w:footnoteRef/>
      </w:r>
      <w:r>
        <w:t xml:space="preserve"> </w:t>
      </w:r>
      <w:r w:rsidRPr="00911E90">
        <w:rPr>
          <w:rFonts w:ascii="Times New Roman" w:hAnsi="Times New Roman" w:cstheme="minorBidi"/>
          <w:sz w:val="20"/>
          <w:szCs w:val="20"/>
        </w:rPr>
        <w:t xml:space="preserve">Si riporta il testo di tale considerando: </w:t>
      </w:r>
      <w:r w:rsidRPr="00911E90">
        <w:rPr>
          <w:rFonts w:ascii="Times New Roman" w:hAnsi="Times New Roman" w:cstheme="minorBidi"/>
          <w:i/>
          <w:sz w:val="20"/>
          <w:szCs w:val="20"/>
        </w:rPr>
        <w:t>«Ai fini della presente direttiva, la manipolazione del mercato dovrebbe essere considerata grave in casi come quelli in cui è di livello elevato l’impatto sull’integrità del mercato, il profitto effettivo o potenziale ritratto ovvero la perdita evitata, la misura del danno cagionato al mercato, dell’alterazione del valore dello strumento finanziario o del contratto a pronti su merci ovvero l’ammontare dei fondi utilizzati in origine oppure quando la manipolazione è commessa da soggetti impiegati o che lavorano all’interno del settore finanziario ovvero presso un’autorità di vigilanza o di regolamentazi</w:t>
      </w:r>
      <w:r w:rsidRPr="00ED4677">
        <w:rPr>
          <w:rFonts w:ascii="Times New Roman" w:hAnsi="Times New Roman"/>
          <w:i/>
          <w:sz w:val="20"/>
          <w:szCs w:val="20"/>
        </w:rPr>
        <w:t>one»</w:t>
      </w:r>
      <w:r w:rsidRPr="00ED4677">
        <w:rPr>
          <w:rFonts w:ascii="Times New Roman" w:hAnsi="Times New Roman"/>
          <w:sz w:val="20"/>
          <w:szCs w:val="20"/>
        </w:rPr>
        <w:t>.</w:t>
      </w:r>
    </w:p>
  </w:footnote>
  <w:footnote w:id="141">
    <w:p w14:paraId="1E1405BD" w14:textId="130EFA63" w:rsidR="00A71CC7" w:rsidRPr="00ED4677" w:rsidRDefault="00A71CC7" w:rsidP="0002344A">
      <w:pPr>
        <w:pStyle w:val="Testonotaapidipagina"/>
        <w:ind w:firstLine="454"/>
      </w:pPr>
      <w:r w:rsidRPr="00ED4677">
        <w:rPr>
          <w:rStyle w:val="Rimandonotaapidipagina"/>
        </w:rPr>
        <w:footnoteRef/>
      </w:r>
      <w:r w:rsidRPr="00ED4677">
        <w:t xml:space="preserve"> Tali stati membri sono Regno Unito, Irlanda e Danimarca.</w:t>
      </w:r>
    </w:p>
  </w:footnote>
  <w:footnote w:id="142">
    <w:p w14:paraId="64645784" w14:textId="0C8FCE80" w:rsidR="00A71CC7" w:rsidRPr="00187EB5" w:rsidRDefault="00A71CC7" w:rsidP="0002344A">
      <w:pPr>
        <w:pStyle w:val="CM1"/>
        <w:widowControl/>
        <w:ind w:firstLine="454"/>
        <w:jc w:val="both"/>
        <w:rPr>
          <w:rFonts w:cs="EUAlbertina"/>
          <w:color w:val="000000"/>
        </w:rPr>
      </w:pPr>
      <w:r w:rsidRPr="00ED4677">
        <w:rPr>
          <w:rStyle w:val="Rimandonotaapidipagina"/>
          <w:rFonts w:ascii="Times New Roman" w:hAnsi="Times New Roman"/>
          <w:sz w:val="20"/>
          <w:szCs w:val="20"/>
        </w:rPr>
        <w:footnoteRef/>
      </w:r>
      <w:r w:rsidRPr="00ED4677">
        <w:rPr>
          <w:rFonts w:ascii="Times New Roman" w:hAnsi="Times New Roman"/>
          <w:sz w:val="20"/>
          <w:szCs w:val="20"/>
        </w:rPr>
        <w:t xml:space="preserve"> Si riporta il testo di tale considerando: </w:t>
      </w:r>
      <w:r w:rsidRPr="00592317">
        <w:rPr>
          <w:rFonts w:ascii="Times New Roman" w:hAnsi="Times New Roman"/>
          <w:i/>
          <w:sz w:val="20"/>
          <w:szCs w:val="20"/>
        </w:rPr>
        <w:t>«</w:t>
      </w:r>
      <w:r w:rsidRPr="00592317">
        <w:rPr>
          <w:rFonts w:ascii="Times New Roman" w:hAnsi="Times New Roman"/>
          <w:i/>
          <w:color w:val="000000"/>
          <w:sz w:val="20"/>
          <w:szCs w:val="20"/>
        </w:rPr>
        <w:t>L’ambito di applicazione della presente direttiva è determinato in modo tale da integrare e garantire l’effettiva attuazione del regolamento (UE) n. 596/2014. Mentre le condotte illecite commesse con dolo dovrebbero essere punite conformemente alla presente direttiva, almeno nei casi gravi, le sanzioni per le violazioni del regolamento (UE) n. 596/2014 non richiedono che sia comprovato il dolo o che gli illeciti siano qualificati come gravi. Nell’applicare la normativa nazionale di recepimento della presente direttiva, gli Stati membri dovrebbero garantire che l’irrogazione di sanzioni penali per i reati ai sensi dalla presente direttiva e di sanzioni amministrative ai sensi del regolamento (UE) n. 596/2014 non violi il principio del ne bis in idem</w:t>
      </w:r>
      <w:r w:rsidRPr="00592317">
        <w:rPr>
          <w:rFonts w:ascii="Times New Roman" w:hAnsi="Times New Roman"/>
          <w:i/>
          <w:sz w:val="20"/>
          <w:szCs w:val="20"/>
        </w:rPr>
        <w:t>»</w:t>
      </w:r>
      <w:r w:rsidRPr="00ED4677">
        <w:rPr>
          <w:rFonts w:ascii="Times New Roman" w:hAnsi="Times New Roman"/>
          <w:sz w:val="20"/>
          <w:szCs w:val="20"/>
        </w:rPr>
        <w:t>.</w:t>
      </w:r>
    </w:p>
  </w:footnote>
  <w:footnote w:id="143">
    <w:p w14:paraId="520E861F" w14:textId="401CF041" w:rsidR="00A71CC7" w:rsidRDefault="00A71CC7" w:rsidP="0002344A">
      <w:pPr>
        <w:pStyle w:val="Testonotaapidipagina"/>
        <w:ind w:firstLine="454"/>
      </w:pPr>
      <w:r>
        <w:rPr>
          <w:rStyle w:val="Rimandonotaapidipagina"/>
        </w:rPr>
        <w:footnoteRef/>
      </w:r>
      <w:r>
        <w:t xml:space="preserve"> Vedi </w:t>
      </w:r>
      <w:r w:rsidRPr="00D76C87">
        <w:rPr>
          <w:i/>
        </w:rPr>
        <w:t>supra</w:t>
      </w:r>
      <w:r>
        <w:t>.</w:t>
      </w:r>
    </w:p>
  </w:footnote>
  <w:footnote w:id="144">
    <w:p w14:paraId="5ADA9DBE" w14:textId="25974A6C" w:rsidR="00A71CC7" w:rsidRDefault="00A71CC7" w:rsidP="0002344A">
      <w:pPr>
        <w:pStyle w:val="Testonotaapidipagina"/>
        <w:ind w:firstLine="454"/>
      </w:pPr>
      <w:r>
        <w:rPr>
          <w:rStyle w:val="Rimandonotaapidipagina"/>
        </w:rPr>
        <w:footnoteRef/>
      </w:r>
      <w:r>
        <w:t xml:space="preserve"> Art. 13, quinto paragrafo, della </w:t>
      </w:r>
      <w:r w:rsidRPr="00AA5F55">
        <w:t>Direttiva 2014/57/UE</w:t>
      </w:r>
      <w:r>
        <w:t>.</w:t>
      </w:r>
    </w:p>
  </w:footnote>
  <w:footnote w:id="145">
    <w:p w14:paraId="16C31FB5" w14:textId="14B28DDA" w:rsidR="00A71CC7" w:rsidRDefault="00A71CC7">
      <w:pPr>
        <w:pStyle w:val="Testonotaapidipagina"/>
      </w:pPr>
      <w:r>
        <w:rPr>
          <w:rStyle w:val="Rimandonotaapidipagina"/>
        </w:rPr>
        <w:footnoteRef/>
      </w:r>
      <w:r>
        <w:t xml:space="preserve"> Cfr. in termini simili </w:t>
      </w:r>
      <w:r w:rsidRPr="00D51F67">
        <w:rPr>
          <w:smallCaps/>
        </w:rPr>
        <w:t>Paliero</w:t>
      </w:r>
      <w:r w:rsidRPr="00D51F67">
        <w:t xml:space="preserve">, </w:t>
      </w:r>
      <w:r w:rsidRPr="00D51F67">
        <w:rPr>
          <w:i/>
        </w:rPr>
        <w:t>Nuove prospettive degli abusi di mercato?</w:t>
      </w:r>
      <w:r w:rsidRPr="00D51F67">
        <w:t xml:space="preserve">, </w:t>
      </w:r>
      <w:r w:rsidRPr="00D51F67">
        <w:rPr>
          <w:rFonts w:eastAsia="Times New Roman"/>
        </w:rPr>
        <w:t xml:space="preserve">in </w:t>
      </w:r>
      <w:r w:rsidRPr="00D51F67">
        <w:rPr>
          <w:rFonts w:eastAsia="Times New Roman"/>
          <w:smallCaps/>
        </w:rPr>
        <w:t>Centro Nazionale di Prevenzione e Difesa Sociale</w:t>
      </w:r>
      <w:r w:rsidRPr="00D51F67">
        <w:rPr>
          <w:rFonts w:eastAsia="Times New Roman"/>
        </w:rPr>
        <w:t xml:space="preserve"> (a cura di), </w:t>
      </w:r>
      <w:r w:rsidRPr="00D51F67">
        <w:rPr>
          <w:rFonts w:eastAsia="Times New Roman"/>
          <w:i/>
        </w:rPr>
        <w:t>La crisi finanziaria: banche, regolatori, sanzioni</w:t>
      </w:r>
      <w:r>
        <w:rPr>
          <w:rFonts w:eastAsia="Times New Roman"/>
        </w:rPr>
        <w:t xml:space="preserve">, cit., 73, che propone un </w:t>
      </w:r>
      <w:r w:rsidRPr="00B07DE0">
        <w:rPr>
          <w:rFonts w:eastAsia="Times New Roman"/>
          <w:i/>
        </w:rPr>
        <w:t>«sistema extrapenale di tutela, in grado di entrare azione tempestivamente in sede preventiva, o, secondo il modello ingiunzionale, [basato sul] “tallonamento” degli attori “sospetti” del mercato così garantendo il ruolo realmente residuale della norma penalistica “di chiusura”»</w:t>
      </w:r>
      <w:r w:rsidRPr="00D51F67">
        <w:rPr>
          <w:rFonts w:eastAsia="Times New Roman"/>
        </w:rPr>
        <w:t>.</w:t>
      </w:r>
    </w:p>
  </w:footnote>
  <w:footnote w:id="146">
    <w:p w14:paraId="51C0B4FC" w14:textId="62097A99" w:rsidR="00A71CC7" w:rsidRDefault="00A71CC7">
      <w:pPr>
        <w:pStyle w:val="Testonotaapidipagina"/>
      </w:pPr>
      <w:r>
        <w:rPr>
          <w:rStyle w:val="Rimandonotaapidipagina"/>
        </w:rPr>
        <w:footnoteRef/>
      </w:r>
      <w:r>
        <w:t xml:space="preserve"> Cfr. </w:t>
      </w:r>
      <w:r w:rsidRPr="00D51F67">
        <w:rPr>
          <w:smallCaps/>
        </w:rPr>
        <w:t>Nieto Martìn</w:t>
      </w:r>
      <w:r w:rsidRPr="00D51F67">
        <w:t xml:space="preserve">, </w:t>
      </w:r>
      <w:r w:rsidRPr="00D51F67">
        <w:rPr>
          <w:i/>
        </w:rPr>
        <w:t>Abusi di mercato: un nuovo paradigma del diritto penale economico europeo</w:t>
      </w:r>
      <w:r w:rsidRPr="00D51F67">
        <w:t xml:space="preserve">, </w:t>
      </w:r>
      <w:r w:rsidRPr="00D51F67">
        <w:rPr>
          <w:rFonts w:eastAsia="Times New Roman"/>
        </w:rPr>
        <w:t xml:space="preserve">in </w:t>
      </w:r>
      <w:r w:rsidRPr="00D51F67">
        <w:rPr>
          <w:rFonts w:eastAsia="Times New Roman"/>
          <w:smallCaps/>
        </w:rPr>
        <w:t>Centro Nazionale di Prevenzione e Difesa Sociale</w:t>
      </w:r>
      <w:r w:rsidRPr="00D51F67">
        <w:rPr>
          <w:rFonts w:eastAsia="Times New Roman"/>
        </w:rPr>
        <w:t xml:space="preserve"> (a cura di), </w:t>
      </w:r>
      <w:r w:rsidRPr="00D51F67">
        <w:rPr>
          <w:rFonts w:eastAsia="Times New Roman"/>
          <w:i/>
        </w:rPr>
        <w:t>La crisi finanziaria: banche, regolatori, sanzioni</w:t>
      </w:r>
      <w:r>
        <w:rPr>
          <w:rFonts w:eastAsia="Times New Roman"/>
        </w:rPr>
        <w:t>, cit., 101</w:t>
      </w:r>
      <w:r w:rsidRPr="00D51F67">
        <w:rPr>
          <w:rFonts w:eastAsia="Times New Roman"/>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E6E"/>
    <w:multiLevelType w:val="multilevel"/>
    <w:tmpl w:val="64D2263E"/>
    <w:lvl w:ilvl="0">
      <w:start w:val="1"/>
      <w:numFmt w:val="decimal"/>
      <w:lvlText w:val="%1"/>
      <w:lvlJc w:val="left"/>
      <w:pPr>
        <w:tabs>
          <w:tab w:val="num" w:pos="454"/>
        </w:tabs>
        <w:ind w:left="0" w:firstLine="0"/>
      </w:pPr>
      <w:rPr>
        <w:rFonts w:hint="default"/>
      </w:rPr>
    </w:lvl>
    <w:lvl w:ilvl="1">
      <w:start w:val="1"/>
      <w:numFmt w:val="decimal"/>
      <w:lvlText w:val="%2."/>
      <w:lvlJc w:val="left"/>
      <w:pPr>
        <w:ind w:left="360" w:hanging="360"/>
      </w:pPr>
      <w:rPr>
        <w:rFonts w:hint="default"/>
      </w:rPr>
    </w:lvl>
    <w:lvl w:ilvl="2">
      <w:start w:val="1"/>
      <w:numFmt w:val="lowerRoman"/>
      <w:lvlText w:val="%1.%2.%3"/>
      <w:lvlJc w:val="left"/>
      <w:pPr>
        <w:tabs>
          <w:tab w:val="num" w:pos="720"/>
        </w:tabs>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7E5076C"/>
    <w:multiLevelType w:val="hybridMultilevel"/>
    <w:tmpl w:val="C79EAC10"/>
    <w:lvl w:ilvl="0" w:tplc="0410000F">
      <w:start w:val="1"/>
      <w:numFmt w:val="decimal"/>
      <w:lvlText w:val="%1."/>
      <w:lvlJc w:val="left"/>
      <w:pPr>
        <w:ind w:left="1174" w:hanging="360"/>
      </w:pPr>
    </w:lvl>
    <w:lvl w:ilvl="1" w:tplc="04100019" w:tentative="1">
      <w:start w:val="1"/>
      <w:numFmt w:val="lowerLetter"/>
      <w:lvlText w:val="%2."/>
      <w:lvlJc w:val="left"/>
      <w:pPr>
        <w:ind w:left="1894" w:hanging="360"/>
      </w:pPr>
    </w:lvl>
    <w:lvl w:ilvl="2" w:tplc="0410001B" w:tentative="1">
      <w:start w:val="1"/>
      <w:numFmt w:val="lowerRoman"/>
      <w:lvlText w:val="%3."/>
      <w:lvlJc w:val="right"/>
      <w:pPr>
        <w:ind w:left="2614" w:hanging="180"/>
      </w:pPr>
    </w:lvl>
    <w:lvl w:ilvl="3" w:tplc="0410000F" w:tentative="1">
      <w:start w:val="1"/>
      <w:numFmt w:val="decimal"/>
      <w:lvlText w:val="%4."/>
      <w:lvlJc w:val="left"/>
      <w:pPr>
        <w:ind w:left="3334" w:hanging="360"/>
      </w:pPr>
    </w:lvl>
    <w:lvl w:ilvl="4" w:tplc="04100019" w:tentative="1">
      <w:start w:val="1"/>
      <w:numFmt w:val="lowerLetter"/>
      <w:lvlText w:val="%5."/>
      <w:lvlJc w:val="left"/>
      <w:pPr>
        <w:ind w:left="4054" w:hanging="360"/>
      </w:pPr>
    </w:lvl>
    <w:lvl w:ilvl="5" w:tplc="0410001B" w:tentative="1">
      <w:start w:val="1"/>
      <w:numFmt w:val="lowerRoman"/>
      <w:lvlText w:val="%6."/>
      <w:lvlJc w:val="right"/>
      <w:pPr>
        <w:ind w:left="4774" w:hanging="180"/>
      </w:pPr>
    </w:lvl>
    <w:lvl w:ilvl="6" w:tplc="0410000F" w:tentative="1">
      <w:start w:val="1"/>
      <w:numFmt w:val="decimal"/>
      <w:lvlText w:val="%7."/>
      <w:lvlJc w:val="left"/>
      <w:pPr>
        <w:ind w:left="5494" w:hanging="360"/>
      </w:pPr>
    </w:lvl>
    <w:lvl w:ilvl="7" w:tplc="04100019" w:tentative="1">
      <w:start w:val="1"/>
      <w:numFmt w:val="lowerLetter"/>
      <w:lvlText w:val="%8."/>
      <w:lvlJc w:val="left"/>
      <w:pPr>
        <w:ind w:left="6214" w:hanging="360"/>
      </w:pPr>
    </w:lvl>
    <w:lvl w:ilvl="8" w:tplc="0410001B" w:tentative="1">
      <w:start w:val="1"/>
      <w:numFmt w:val="lowerRoman"/>
      <w:lvlText w:val="%9."/>
      <w:lvlJc w:val="right"/>
      <w:pPr>
        <w:ind w:left="6934" w:hanging="180"/>
      </w:pPr>
    </w:lvl>
  </w:abstractNum>
  <w:abstractNum w:abstractNumId="2">
    <w:nsid w:val="0A185ADB"/>
    <w:multiLevelType w:val="multilevel"/>
    <w:tmpl w:val="F9FCD4D4"/>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454"/>
        </w:tabs>
        <w:ind w:left="0" w:firstLine="0"/>
      </w:pPr>
      <w:rPr>
        <w:rFonts w:hint="default"/>
      </w:rPr>
    </w:lvl>
    <w:lvl w:ilvl="2">
      <w:start w:val="1"/>
      <w:numFmt w:val="lowerRoman"/>
      <w:lvlText w:val="%1.%2.%3"/>
      <w:lvlJc w:val="left"/>
      <w:pPr>
        <w:tabs>
          <w:tab w:val="num" w:pos="720"/>
        </w:tabs>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39320D8"/>
    <w:multiLevelType w:val="multilevel"/>
    <w:tmpl w:val="194CCD18"/>
    <w:lvl w:ilvl="0">
      <w:start w:val="3"/>
      <w:numFmt w:val="decimal"/>
      <w:lvlText w:val="%1."/>
      <w:lvlJc w:val="left"/>
      <w:pPr>
        <w:tabs>
          <w:tab w:val="num" w:pos="454"/>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4292E87"/>
    <w:multiLevelType w:val="multilevel"/>
    <w:tmpl w:val="DB48E462"/>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454"/>
        </w:tabs>
        <w:ind w:left="454" w:hanging="454"/>
      </w:pPr>
      <w:rPr>
        <w:rFonts w:hint="default"/>
      </w:rPr>
    </w:lvl>
    <w:lvl w:ilvl="2">
      <w:start w:val="1"/>
      <w:numFmt w:val="lowerRoman"/>
      <w:lvlText w:val="%1.%2.%3"/>
      <w:lvlJc w:val="left"/>
      <w:pPr>
        <w:tabs>
          <w:tab w:val="num" w:pos="720"/>
        </w:tabs>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581260D"/>
    <w:multiLevelType w:val="multilevel"/>
    <w:tmpl w:val="22A6C4F4"/>
    <w:lvl w:ilvl="0">
      <w:start w:val="1"/>
      <w:numFmt w:val="decimal"/>
      <w:lvlText w:val="%1."/>
      <w:lvlJc w:val="left"/>
      <w:pPr>
        <w:tabs>
          <w:tab w:val="num" w:pos="454"/>
        </w:tabs>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17A41C58"/>
    <w:multiLevelType w:val="hybridMultilevel"/>
    <w:tmpl w:val="194CCD18"/>
    <w:lvl w:ilvl="0" w:tplc="3EC2F652">
      <w:start w:val="3"/>
      <w:numFmt w:val="decimal"/>
      <w:lvlText w:val="%1."/>
      <w:lvlJc w:val="left"/>
      <w:pPr>
        <w:tabs>
          <w:tab w:val="num" w:pos="454"/>
        </w:tabs>
        <w:ind w:left="0" w:firstLine="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89957E1"/>
    <w:multiLevelType w:val="hybridMultilevel"/>
    <w:tmpl w:val="79121D66"/>
    <w:lvl w:ilvl="0" w:tplc="0410000F">
      <w:start w:val="1"/>
      <w:numFmt w:val="decimal"/>
      <w:lvlText w:val="%1."/>
      <w:lvlJc w:val="left"/>
      <w:pPr>
        <w:ind w:left="1174" w:hanging="360"/>
      </w:pPr>
    </w:lvl>
    <w:lvl w:ilvl="1" w:tplc="04100019" w:tentative="1">
      <w:start w:val="1"/>
      <w:numFmt w:val="lowerLetter"/>
      <w:lvlText w:val="%2."/>
      <w:lvlJc w:val="left"/>
      <w:pPr>
        <w:ind w:left="1894" w:hanging="360"/>
      </w:pPr>
    </w:lvl>
    <w:lvl w:ilvl="2" w:tplc="0410001B" w:tentative="1">
      <w:start w:val="1"/>
      <w:numFmt w:val="lowerRoman"/>
      <w:lvlText w:val="%3."/>
      <w:lvlJc w:val="right"/>
      <w:pPr>
        <w:ind w:left="2614" w:hanging="180"/>
      </w:pPr>
    </w:lvl>
    <w:lvl w:ilvl="3" w:tplc="0410000F" w:tentative="1">
      <w:start w:val="1"/>
      <w:numFmt w:val="decimal"/>
      <w:lvlText w:val="%4."/>
      <w:lvlJc w:val="left"/>
      <w:pPr>
        <w:ind w:left="3334" w:hanging="360"/>
      </w:pPr>
    </w:lvl>
    <w:lvl w:ilvl="4" w:tplc="04100019" w:tentative="1">
      <w:start w:val="1"/>
      <w:numFmt w:val="lowerLetter"/>
      <w:lvlText w:val="%5."/>
      <w:lvlJc w:val="left"/>
      <w:pPr>
        <w:ind w:left="4054" w:hanging="360"/>
      </w:pPr>
    </w:lvl>
    <w:lvl w:ilvl="5" w:tplc="0410001B" w:tentative="1">
      <w:start w:val="1"/>
      <w:numFmt w:val="lowerRoman"/>
      <w:lvlText w:val="%6."/>
      <w:lvlJc w:val="right"/>
      <w:pPr>
        <w:ind w:left="4774" w:hanging="180"/>
      </w:pPr>
    </w:lvl>
    <w:lvl w:ilvl="6" w:tplc="0410000F" w:tentative="1">
      <w:start w:val="1"/>
      <w:numFmt w:val="decimal"/>
      <w:lvlText w:val="%7."/>
      <w:lvlJc w:val="left"/>
      <w:pPr>
        <w:ind w:left="5494" w:hanging="360"/>
      </w:pPr>
    </w:lvl>
    <w:lvl w:ilvl="7" w:tplc="04100019" w:tentative="1">
      <w:start w:val="1"/>
      <w:numFmt w:val="lowerLetter"/>
      <w:lvlText w:val="%8."/>
      <w:lvlJc w:val="left"/>
      <w:pPr>
        <w:ind w:left="6214" w:hanging="360"/>
      </w:pPr>
    </w:lvl>
    <w:lvl w:ilvl="8" w:tplc="0410001B" w:tentative="1">
      <w:start w:val="1"/>
      <w:numFmt w:val="lowerRoman"/>
      <w:lvlText w:val="%9."/>
      <w:lvlJc w:val="right"/>
      <w:pPr>
        <w:ind w:left="6934" w:hanging="180"/>
      </w:pPr>
    </w:lvl>
  </w:abstractNum>
  <w:abstractNum w:abstractNumId="8">
    <w:nsid w:val="18B51B85"/>
    <w:multiLevelType w:val="hybridMultilevel"/>
    <w:tmpl w:val="CFA8D8B8"/>
    <w:lvl w:ilvl="0" w:tplc="8A9E553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B262595"/>
    <w:multiLevelType w:val="multilevel"/>
    <w:tmpl w:val="49606C4C"/>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720"/>
        </w:tabs>
        <w:ind w:left="0" w:firstLine="0"/>
      </w:pPr>
      <w:rPr>
        <w:rFonts w:hint="default"/>
      </w:rPr>
    </w:lvl>
    <w:lvl w:ilvl="2">
      <w:start w:val="1"/>
      <w:numFmt w:val="lowerRoman"/>
      <w:lvlText w:val="%1.%2.%3"/>
      <w:lvlJc w:val="left"/>
      <w:pPr>
        <w:tabs>
          <w:tab w:val="num" w:pos="720"/>
        </w:tabs>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0B7522B"/>
    <w:multiLevelType w:val="multilevel"/>
    <w:tmpl w:val="E368A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F73A0B"/>
    <w:multiLevelType w:val="multilevel"/>
    <w:tmpl w:val="D2C8BCEC"/>
    <w:lvl w:ilvl="0">
      <w:start w:val="1"/>
      <w:numFmt w:val="decimal"/>
      <w:lvlText w:val="%1"/>
      <w:lvlJc w:val="left"/>
      <w:pPr>
        <w:tabs>
          <w:tab w:val="num" w:pos="720"/>
        </w:tabs>
        <w:ind w:left="0" w:firstLine="0"/>
      </w:pPr>
      <w:rPr>
        <w:rFonts w:hint="default"/>
      </w:rPr>
    </w:lvl>
    <w:lvl w:ilvl="1">
      <w:start w:val="9"/>
      <w:numFmt w:val="decimal"/>
      <w:pStyle w:val="Titolo2"/>
      <w:lvlText w:val="%2."/>
      <w:lvlJc w:val="left"/>
      <w:pPr>
        <w:ind w:left="454" w:hanging="454"/>
      </w:pPr>
      <w:rPr>
        <w:rFonts w:hint="default"/>
      </w:rPr>
    </w:lvl>
    <w:lvl w:ilvl="2">
      <w:start w:val="1"/>
      <w:numFmt w:val="lowerRoman"/>
      <w:lvlText w:val="%1.%2.%3"/>
      <w:lvlJc w:val="left"/>
      <w:pPr>
        <w:tabs>
          <w:tab w:val="num" w:pos="720"/>
        </w:tabs>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4655DED"/>
    <w:multiLevelType w:val="multilevel"/>
    <w:tmpl w:val="52CA78DA"/>
    <w:lvl w:ilvl="0">
      <w:start w:val="1"/>
      <w:numFmt w:val="decimal"/>
      <w:lvlText w:val="%1"/>
      <w:lvlJc w:val="left"/>
      <w:pPr>
        <w:tabs>
          <w:tab w:val="num" w:pos="720"/>
        </w:tabs>
        <w:ind w:left="0" w:firstLine="0"/>
      </w:pPr>
      <w:rPr>
        <w:rFonts w:hint="default"/>
      </w:rPr>
    </w:lvl>
    <w:lvl w:ilvl="1">
      <w:start w:val="9"/>
      <w:numFmt w:val="decimal"/>
      <w:lvlText w:val="%2."/>
      <w:lvlJc w:val="left"/>
      <w:pPr>
        <w:ind w:left="454" w:hanging="454"/>
      </w:pPr>
      <w:rPr>
        <w:rFonts w:hint="default"/>
      </w:rPr>
    </w:lvl>
    <w:lvl w:ilvl="2">
      <w:start w:val="1"/>
      <w:numFmt w:val="lowerRoman"/>
      <w:lvlText w:val="%1.%2.%3"/>
      <w:lvlJc w:val="left"/>
      <w:pPr>
        <w:tabs>
          <w:tab w:val="num" w:pos="720"/>
        </w:tabs>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D1838BE"/>
    <w:multiLevelType w:val="multilevel"/>
    <w:tmpl w:val="49606C4C"/>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720"/>
        </w:tabs>
        <w:ind w:left="0" w:firstLine="0"/>
      </w:pPr>
      <w:rPr>
        <w:rFonts w:hint="default"/>
      </w:rPr>
    </w:lvl>
    <w:lvl w:ilvl="2">
      <w:start w:val="1"/>
      <w:numFmt w:val="lowerRoman"/>
      <w:lvlText w:val="%1.%2.%3"/>
      <w:lvlJc w:val="left"/>
      <w:pPr>
        <w:tabs>
          <w:tab w:val="num" w:pos="720"/>
        </w:tabs>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A144E9"/>
    <w:multiLevelType w:val="multilevel"/>
    <w:tmpl w:val="66705D4A"/>
    <w:lvl w:ilvl="0">
      <w:start w:val="2"/>
      <w:numFmt w:val="decimal"/>
      <w:lvlText w:val="%1"/>
      <w:lvlJc w:val="left"/>
      <w:pPr>
        <w:tabs>
          <w:tab w:val="num" w:pos="454"/>
        </w:tabs>
        <w:ind w:left="0" w:firstLine="0"/>
      </w:pPr>
      <w:rPr>
        <w:rFonts w:hint="default"/>
      </w:rPr>
    </w:lvl>
    <w:lvl w:ilvl="1">
      <w:start w:val="4"/>
      <w:numFmt w:val="decimal"/>
      <w:lvlText w:val="%2"/>
      <w:lvlJc w:val="left"/>
      <w:pPr>
        <w:tabs>
          <w:tab w:val="num" w:pos="454"/>
        </w:tabs>
        <w:ind w:left="0" w:firstLine="0"/>
      </w:pPr>
      <w:rPr>
        <w:rFonts w:hint="default"/>
      </w:rPr>
    </w:lvl>
    <w:lvl w:ilvl="2">
      <w:start w:val="1"/>
      <w:numFmt w:val="lowerRoman"/>
      <w:lvlText w:val="%1.%2.%3"/>
      <w:lvlJc w:val="left"/>
      <w:pPr>
        <w:tabs>
          <w:tab w:val="num" w:pos="720"/>
        </w:tabs>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3186C00"/>
    <w:multiLevelType w:val="multilevel"/>
    <w:tmpl w:val="8B38572E"/>
    <w:lvl w:ilvl="0">
      <w:start w:val="3"/>
      <w:numFmt w:val="decimal"/>
      <w:lvlText w:val="%1."/>
      <w:lvlJc w:val="left"/>
      <w:pPr>
        <w:ind w:left="360" w:hanging="360"/>
      </w:pPr>
      <w:rPr>
        <w:rFonts w:hint="default"/>
      </w:rPr>
    </w:lvl>
    <w:lvl w:ilvl="1">
      <w:start w:val="3"/>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335275B"/>
    <w:multiLevelType w:val="multilevel"/>
    <w:tmpl w:val="881E6444"/>
    <w:lvl w:ilvl="0">
      <w:start w:val="2"/>
      <w:numFmt w:val="decimal"/>
      <w:lvlText w:val="%1"/>
      <w:lvlJc w:val="left"/>
      <w:pPr>
        <w:tabs>
          <w:tab w:val="num" w:pos="454"/>
        </w:tabs>
        <w:ind w:left="0" w:firstLine="0"/>
      </w:pPr>
      <w:rPr>
        <w:rFonts w:hint="default"/>
      </w:rPr>
    </w:lvl>
    <w:lvl w:ilvl="1">
      <w:start w:val="3"/>
      <w:numFmt w:val="decimal"/>
      <w:lvlText w:val="%2"/>
      <w:lvlJc w:val="left"/>
      <w:pPr>
        <w:tabs>
          <w:tab w:val="num" w:pos="454"/>
        </w:tabs>
        <w:ind w:left="0" w:firstLine="0"/>
      </w:pPr>
      <w:rPr>
        <w:rFonts w:hint="default"/>
      </w:rPr>
    </w:lvl>
    <w:lvl w:ilvl="2">
      <w:start w:val="1"/>
      <w:numFmt w:val="lowerRoman"/>
      <w:lvlText w:val="%1.%2.%3"/>
      <w:lvlJc w:val="left"/>
      <w:pPr>
        <w:tabs>
          <w:tab w:val="num" w:pos="720"/>
        </w:tabs>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6F9295E"/>
    <w:multiLevelType w:val="multilevel"/>
    <w:tmpl w:val="DB48E462"/>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454"/>
        </w:tabs>
        <w:ind w:left="454" w:hanging="454"/>
      </w:pPr>
      <w:rPr>
        <w:rFonts w:hint="default"/>
      </w:rPr>
    </w:lvl>
    <w:lvl w:ilvl="2">
      <w:start w:val="1"/>
      <w:numFmt w:val="lowerRoman"/>
      <w:lvlText w:val="%1.%2.%3"/>
      <w:lvlJc w:val="left"/>
      <w:pPr>
        <w:tabs>
          <w:tab w:val="num" w:pos="720"/>
        </w:tabs>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A11601C"/>
    <w:multiLevelType w:val="multilevel"/>
    <w:tmpl w:val="D2C8BCEC"/>
    <w:lvl w:ilvl="0">
      <w:start w:val="1"/>
      <w:numFmt w:val="decimal"/>
      <w:lvlText w:val="%1"/>
      <w:lvlJc w:val="left"/>
      <w:pPr>
        <w:tabs>
          <w:tab w:val="num" w:pos="720"/>
        </w:tabs>
        <w:ind w:left="0" w:firstLine="0"/>
      </w:pPr>
      <w:rPr>
        <w:rFonts w:hint="default"/>
      </w:rPr>
    </w:lvl>
    <w:lvl w:ilvl="1">
      <w:start w:val="9"/>
      <w:numFmt w:val="decimal"/>
      <w:lvlText w:val="%2."/>
      <w:lvlJc w:val="left"/>
      <w:pPr>
        <w:ind w:left="454" w:hanging="454"/>
      </w:pPr>
      <w:rPr>
        <w:rFonts w:hint="default"/>
      </w:rPr>
    </w:lvl>
    <w:lvl w:ilvl="2">
      <w:start w:val="1"/>
      <w:numFmt w:val="lowerRoman"/>
      <w:lvlText w:val="%1.%2.%3"/>
      <w:lvlJc w:val="left"/>
      <w:pPr>
        <w:tabs>
          <w:tab w:val="num" w:pos="720"/>
        </w:tabs>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AC95E87"/>
    <w:multiLevelType w:val="hybridMultilevel"/>
    <w:tmpl w:val="418C1B6C"/>
    <w:lvl w:ilvl="0" w:tplc="3EC2F652">
      <w:start w:val="3"/>
      <w:numFmt w:val="decimal"/>
      <w:lvlText w:val="%1."/>
      <w:lvlJc w:val="left"/>
      <w:pPr>
        <w:tabs>
          <w:tab w:val="num" w:pos="454"/>
        </w:tabs>
        <w:ind w:left="0" w:firstLine="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C17005B"/>
    <w:multiLevelType w:val="multilevel"/>
    <w:tmpl w:val="E8465C50"/>
    <w:lvl w:ilvl="0">
      <w:start w:val="1"/>
      <w:numFmt w:val="decimal"/>
      <w:lvlText w:val="%1."/>
      <w:lvlJc w:val="left"/>
      <w:pPr>
        <w:tabs>
          <w:tab w:val="num" w:pos="454"/>
        </w:tabs>
        <w:ind w:left="454" w:hanging="454"/>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3DBF102A"/>
    <w:multiLevelType w:val="multilevel"/>
    <w:tmpl w:val="79121D66"/>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22">
    <w:nsid w:val="41911C45"/>
    <w:multiLevelType w:val="hybridMultilevel"/>
    <w:tmpl w:val="85DCE83A"/>
    <w:lvl w:ilvl="0" w:tplc="3EC2F652">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74C6FA1"/>
    <w:multiLevelType w:val="hybridMultilevel"/>
    <w:tmpl w:val="794E1A22"/>
    <w:lvl w:ilvl="0" w:tplc="C128C48A">
      <w:start w:val="1"/>
      <w:numFmt w:val="decimal"/>
      <w:lvlText w:val="%1."/>
      <w:lvlJc w:val="left"/>
      <w:pPr>
        <w:tabs>
          <w:tab w:val="num" w:pos="454"/>
        </w:tabs>
        <w:ind w:left="454" w:hanging="454"/>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4833119C"/>
    <w:multiLevelType w:val="multilevel"/>
    <w:tmpl w:val="509284B4"/>
    <w:lvl w:ilvl="0">
      <w:start w:val="1"/>
      <w:numFmt w:val="decimal"/>
      <w:lvlText w:val="%1"/>
      <w:lvlJc w:val="left"/>
      <w:pPr>
        <w:tabs>
          <w:tab w:val="num" w:pos="454"/>
        </w:tabs>
        <w:ind w:left="0" w:firstLine="0"/>
      </w:pPr>
      <w:rPr>
        <w:rFonts w:hint="default"/>
      </w:rPr>
    </w:lvl>
    <w:lvl w:ilvl="1">
      <w:start w:val="1"/>
      <w:numFmt w:val="decimal"/>
      <w:lvlText w:val="%2"/>
      <w:lvlJc w:val="left"/>
      <w:pPr>
        <w:tabs>
          <w:tab w:val="num" w:pos="454"/>
        </w:tabs>
        <w:ind w:left="0" w:firstLine="0"/>
      </w:pPr>
      <w:rPr>
        <w:rFonts w:hint="default"/>
      </w:rPr>
    </w:lvl>
    <w:lvl w:ilvl="2">
      <w:start w:val="1"/>
      <w:numFmt w:val="lowerRoman"/>
      <w:lvlText w:val="%1.%2.%3"/>
      <w:lvlJc w:val="left"/>
      <w:pPr>
        <w:tabs>
          <w:tab w:val="num" w:pos="720"/>
        </w:tabs>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8F10DD8"/>
    <w:multiLevelType w:val="multilevel"/>
    <w:tmpl w:val="49606C4C"/>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720"/>
        </w:tabs>
        <w:ind w:left="0" w:firstLine="0"/>
      </w:pPr>
      <w:rPr>
        <w:rFonts w:hint="default"/>
      </w:rPr>
    </w:lvl>
    <w:lvl w:ilvl="2">
      <w:start w:val="1"/>
      <w:numFmt w:val="lowerRoman"/>
      <w:lvlText w:val="%1.%2.%3"/>
      <w:lvlJc w:val="left"/>
      <w:pPr>
        <w:tabs>
          <w:tab w:val="num" w:pos="720"/>
        </w:tabs>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99521E5"/>
    <w:multiLevelType w:val="multilevel"/>
    <w:tmpl w:val="DB48E462"/>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454"/>
        </w:tabs>
        <w:ind w:left="454" w:hanging="454"/>
      </w:pPr>
      <w:rPr>
        <w:rFonts w:hint="default"/>
      </w:rPr>
    </w:lvl>
    <w:lvl w:ilvl="2">
      <w:start w:val="1"/>
      <w:numFmt w:val="lowerRoman"/>
      <w:lvlText w:val="%1.%2.%3"/>
      <w:lvlJc w:val="left"/>
      <w:pPr>
        <w:tabs>
          <w:tab w:val="num" w:pos="720"/>
        </w:tabs>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A1971D1"/>
    <w:multiLevelType w:val="multilevel"/>
    <w:tmpl w:val="52CA78DA"/>
    <w:lvl w:ilvl="0">
      <w:start w:val="1"/>
      <w:numFmt w:val="decimal"/>
      <w:lvlText w:val="%1"/>
      <w:lvlJc w:val="left"/>
      <w:pPr>
        <w:tabs>
          <w:tab w:val="num" w:pos="720"/>
        </w:tabs>
        <w:ind w:left="0" w:firstLine="0"/>
      </w:pPr>
      <w:rPr>
        <w:rFonts w:hint="default"/>
      </w:rPr>
    </w:lvl>
    <w:lvl w:ilvl="1">
      <w:start w:val="9"/>
      <w:numFmt w:val="decimal"/>
      <w:lvlText w:val="%2."/>
      <w:lvlJc w:val="left"/>
      <w:pPr>
        <w:ind w:left="454" w:hanging="454"/>
      </w:pPr>
      <w:rPr>
        <w:rFonts w:hint="default"/>
      </w:rPr>
    </w:lvl>
    <w:lvl w:ilvl="2">
      <w:start w:val="1"/>
      <w:numFmt w:val="lowerRoman"/>
      <w:lvlText w:val="%1.%2.%3"/>
      <w:lvlJc w:val="left"/>
      <w:pPr>
        <w:tabs>
          <w:tab w:val="num" w:pos="720"/>
        </w:tabs>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F843F02"/>
    <w:multiLevelType w:val="hybridMultilevel"/>
    <w:tmpl w:val="0518A606"/>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52327E80"/>
    <w:multiLevelType w:val="multilevel"/>
    <w:tmpl w:val="49606C4C"/>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720"/>
        </w:tabs>
        <w:ind w:left="0" w:firstLine="0"/>
      </w:pPr>
      <w:rPr>
        <w:rFonts w:hint="default"/>
      </w:rPr>
    </w:lvl>
    <w:lvl w:ilvl="2">
      <w:start w:val="1"/>
      <w:numFmt w:val="lowerRoman"/>
      <w:lvlText w:val="%1.%2.%3"/>
      <w:lvlJc w:val="left"/>
      <w:pPr>
        <w:tabs>
          <w:tab w:val="num" w:pos="720"/>
        </w:tabs>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4940958"/>
    <w:multiLevelType w:val="multilevel"/>
    <w:tmpl w:val="3F3C51B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54EB085B"/>
    <w:multiLevelType w:val="multilevel"/>
    <w:tmpl w:val="49606C4C"/>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720"/>
        </w:tabs>
        <w:ind w:left="0" w:firstLine="0"/>
      </w:pPr>
      <w:rPr>
        <w:rFonts w:hint="default"/>
      </w:rPr>
    </w:lvl>
    <w:lvl w:ilvl="2">
      <w:start w:val="1"/>
      <w:numFmt w:val="lowerRoman"/>
      <w:lvlText w:val="%1.%2.%3"/>
      <w:lvlJc w:val="left"/>
      <w:pPr>
        <w:tabs>
          <w:tab w:val="num" w:pos="720"/>
        </w:tabs>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6CB71AA"/>
    <w:multiLevelType w:val="multilevel"/>
    <w:tmpl w:val="812A9072"/>
    <w:lvl w:ilvl="0">
      <w:start w:val="1"/>
      <w:numFmt w:val="decimal"/>
      <w:lvlText w:val="%1."/>
      <w:lvlJc w:val="left"/>
      <w:pPr>
        <w:tabs>
          <w:tab w:val="num" w:pos="454"/>
        </w:tabs>
        <w:ind w:left="0" w:firstLine="454"/>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58BE3B28"/>
    <w:multiLevelType w:val="multilevel"/>
    <w:tmpl w:val="7F0EB734"/>
    <w:lvl w:ilvl="0">
      <w:start w:val="1"/>
      <w:numFmt w:val="decimal"/>
      <w:lvlText w:val="%1."/>
      <w:lvlJc w:val="left"/>
      <w:pPr>
        <w:tabs>
          <w:tab w:val="num" w:pos="454"/>
        </w:tabs>
        <w:ind w:left="454" w:hanging="454"/>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5C2C4447"/>
    <w:multiLevelType w:val="multilevel"/>
    <w:tmpl w:val="6BEA8322"/>
    <w:lvl w:ilvl="0">
      <w:start w:val="1"/>
      <w:numFmt w:val="decimal"/>
      <w:lvlText w:val="%1."/>
      <w:lvlJc w:val="left"/>
      <w:pPr>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61DD143A"/>
    <w:multiLevelType w:val="hybridMultilevel"/>
    <w:tmpl w:val="ED24035C"/>
    <w:lvl w:ilvl="0" w:tplc="11A44268">
      <w:start w:val="1"/>
      <w:numFmt w:val="lowerLetter"/>
      <w:lvlText w:val="%1)"/>
      <w:lvlJc w:val="left"/>
      <w:pPr>
        <w:ind w:left="814" w:hanging="360"/>
      </w:pPr>
      <w:rPr>
        <w:rFonts w:hint="default"/>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36">
    <w:nsid w:val="67CC5B5F"/>
    <w:multiLevelType w:val="multilevel"/>
    <w:tmpl w:val="4F6EA6CC"/>
    <w:lvl w:ilvl="0">
      <w:start w:val="1"/>
      <w:numFmt w:val="decimal"/>
      <w:lvlText w:val="%1"/>
      <w:lvlJc w:val="left"/>
      <w:pPr>
        <w:tabs>
          <w:tab w:val="num" w:pos="720"/>
        </w:tabs>
        <w:ind w:left="0" w:firstLine="0"/>
      </w:pPr>
      <w:rPr>
        <w:rFonts w:hint="default"/>
      </w:rPr>
    </w:lvl>
    <w:lvl w:ilvl="1">
      <w:start w:val="3"/>
      <w:numFmt w:val="decimal"/>
      <w:lvlText w:val="%2."/>
      <w:lvlJc w:val="left"/>
      <w:pPr>
        <w:ind w:left="360" w:hanging="360"/>
      </w:pPr>
      <w:rPr>
        <w:rFonts w:hint="default"/>
      </w:rPr>
    </w:lvl>
    <w:lvl w:ilvl="2">
      <w:start w:val="1"/>
      <w:numFmt w:val="lowerRoman"/>
      <w:lvlText w:val="%1.%2.%3"/>
      <w:lvlJc w:val="left"/>
      <w:pPr>
        <w:tabs>
          <w:tab w:val="num" w:pos="720"/>
        </w:tabs>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CC64351"/>
    <w:multiLevelType w:val="multilevel"/>
    <w:tmpl w:val="AAA299D2"/>
    <w:lvl w:ilvl="0">
      <w:start w:val="3"/>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0A36AE5"/>
    <w:multiLevelType w:val="hybridMultilevel"/>
    <w:tmpl w:val="794E1A22"/>
    <w:lvl w:ilvl="0" w:tplc="C128C48A">
      <w:start w:val="1"/>
      <w:numFmt w:val="decimal"/>
      <w:lvlText w:val="%1."/>
      <w:lvlJc w:val="left"/>
      <w:pPr>
        <w:tabs>
          <w:tab w:val="num" w:pos="454"/>
        </w:tabs>
        <w:ind w:left="454" w:hanging="454"/>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0BF2162"/>
    <w:multiLevelType w:val="multilevel"/>
    <w:tmpl w:val="F432CC52"/>
    <w:lvl w:ilvl="0">
      <w:start w:val="1"/>
      <w:numFmt w:val="decimal"/>
      <w:lvlText w:val="%1."/>
      <w:lvlJc w:val="left"/>
      <w:pPr>
        <w:tabs>
          <w:tab w:val="num" w:pos="454"/>
        </w:tabs>
        <w:ind w:left="454" w:hanging="454"/>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73167351"/>
    <w:multiLevelType w:val="multilevel"/>
    <w:tmpl w:val="3F3C51B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7AD47735"/>
    <w:multiLevelType w:val="multilevel"/>
    <w:tmpl w:val="64D2263E"/>
    <w:lvl w:ilvl="0">
      <w:start w:val="1"/>
      <w:numFmt w:val="decimal"/>
      <w:lvlText w:val="%1"/>
      <w:lvlJc w:val="left"/>
      <w:pPr>
        <w:tabs>
          <w:tab w:val="num" w:pos="454"/>
        </w:tabs>
        <w:ind w:left="0" w:firstLine="0"/>
      </w:pPr>
      <w:rPr>
        <w:rFonts w:hint="default"/>
      </w:rPr>
    </w:lvl>
    <w:lvl w:ilvl="1">
      <w:start w:val="1"/>
      <w:numFmt w:val="decimal"/>
      <w:lvlText w:val="%2."/>
      <w:lvlJc w:val="left"/>
      <w:pPr>
        <w:ind w:left="360" w:hanging="360"/>
      </w:pPr>
      <w:rPr>
        <w:rFonts w:hint="default"/>
      </w:rPr>
    </w:lvl>
    <w:lvl w:ilvl="2">
      <w:start w:val="1"/>
      <w:numFmt w:val="lowerRoman"/>
      <w:lvlText w:val="%1.%2.%3"/>
      <w:lvlJc w:val="left"/>
      <w:pPr>
        <w:tabs>
          <w:tab w:val="num" w:pos="720"/>
        </w:tabs>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BE96E61"/>
    <w:multiLevelType w:val="hybridMultilevel"/>
    <w:tmpl w:val="8B38572E"/>
    <w:lvl w:ilvl="0" w:tplc="9BF6BBCC">
      <w:start w:val="3"/>
      <w:numFmt w:val="decimal"/>
      <w:lvlText w:val="%1."/>
      <w:lvlJc w:val="left"/>
      <w:pPr>
        <w:ind w:left="360" w:hanging="360"/>
      </w:pPr>
      <w:rPr>
        <w:rFonts w:hint="default"/>
      </w:rPr>
    </w:lvl>
    <w:lvl w:ilvl="1" w:tplc="9BF6BBCC">
      <w:start w:val="3"/>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1"/>
  </w:num>
  <w:num w:numId="3">
    <w:abstractNumId w:val="14"/>
  </w:num>
  <w:num w:numId="4">
    <w:abstractNumId w:val="7"/>
  </w:num>
  <w:num w:numId="5">
    <w:abstractNumId w:val="21"/>
  </w:num>
  <w:num w:numId="6">
    <w:abstractNumId w:val="24"/>
  </w:num>
  <w:num w:numId="7">
    <w:abstractNumId w:val="41"/>
  </w:num>
  <w:num w:numId="8">
    <w:abstractNumId w:val="42"/>
  </w:num>
  <w:num w:numId="9">
    <w:abstractNumId w:val="37"/>
  </w:num>
  <w:num w:numId="10">
    <w:abstractNumId w:val="15"/>
  </w:num>
  <w:num w:numId="11">
    <w:abstractNumId w:val="6"/>
  </w:num>
  <w:num w:numId="12">
    <w:abstractNumId w:val="16"/>
  </w:num>
  <w:num w:numId="13">
    <w:abstractNumId w:val="3"/>
  </w:num>
  <w:num w:numId="14">
    <w:abstractNumId w:val="19"/>
  </w:num>
  <w:num w:numId="15">
    <w:abstractNumId w:val="28"/>
  </w:num>
  <w:num w:numId="16">
    <w:abstractNumId w:val="38"/>
  </w:num>
  <w:num w:numId="17">
    <w:abstractNumId w:val="30"/>
  </w:num>
  <w:num w:numId="18">
    <w:abstractNumId w:val="40"/>
  </w:num>
  <w:num w:numId="19">
    <w:abstractNumId w:val="32"/>
  </w:num>
  <w:num w:numId="20">
    <w:abstractNumId w:val="1"/>
  </w:num>
  <w:num w:numId="21">
    <w:abstractNumId w:val="35"/>
  </w:num>
  <w:num w:numId="22">
    <w:abstractNumId w:val="9"/>
  </w:num>
  <w:num w:numId="23">
    <w:abstractNumId w:val="8"/>
  </w:num>
  <w:num w:numId="24">
    <w:abstractNumId w:val="34"/>
  </w:num>
  <w:num w:numId="25">
    <w:abstractNumId w:val="5"/>
  </w:num>
  <w:num w:numId="26">
    <w:abstractNumId w:val="39"/>
  </w:num>
  <w:num w:numId="27">
    <w:abstractNumId w:val="20"/>
  </w:num>
  <w:num w:numId="28">
    <w:abstractNumId w:val="33"/>
  </w:num>
  <w:num w:numId="29">
    <w:abstractNumId w:val="29"/>
  </w:num>
  <w:num w:numId="30">
    <w:abstractNumId w:val="31"/>
  </w:num>
  <w:num w:numId="31">
    <w:abstractNumId w:val="25"/>
  </w:num>
  <w:num w:numId="32">
    <w:abstractNumId w:val="22"/>
  </w:num>
  <w:num w:numId="33">
    <w:abstractNumId w:val="13"/>
  </w:num>
  <w:num w:numId="34">
    <w:abstractNumId w:val="23"/>
  </w:num>
  <w:num w:numId="35">
    <w:abstractNumId w:val="2"/>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6"/>
  </w:num>
  <w:num w:numId="39">
    <w:abstractNumId w:val="17"/>
  </w:num>
  <w:num w:numId="40">
    <w:abstractNumId w:val="36"/>
  </w:num>
  <w:num w:numId="41">
    <w:abstractNumId w:val="27"/>
  </w:num>
  <w:num w:numId="42">
    <w:abstractNumId w:val="1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2"/>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embedSystemFonts/>
  <w:activeWritingStyle w:appName="MSWord" w:lang="it-IT" w:vendorID="3" w:dllVersion="517"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54"/>
  <w:hyphenationZone w:val="283"/>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43C"/>
    <w:rsid w:val="00000086"/>
    <w:rsid w:val="00000844"/>
    <w:rsid w:val="00000F13"/>
    <w:rsid w:val="00001393"/>
    <w:rsid w:val="00002B4A"/>
    <w:rsid w:val="00004B10"/>
    <w:rsid w:val="000065AE"/>
    <w:rsid w:val="00006AB3"/>
    <w:rsid w:val="00007736"/>
    <w:rsid w:val="00007986"/>
    <w:rsid w:val="00007F67"/>
    <w:rsid w:val="00007FA3"/>
    <w:rsid w:val="0001045E"/>
    <w:rsid w:val="00010797"/>
    <w:rsid w:val="000110BA"/>
    <w:rsid w:val="000113A8"/>
    <w:rsid w:val="000115D0"/>
    <w:rsid w:val="00012068"/>
    <w:rsid w:val="00012280"/>
    <w:rsid w:val="000122C5"/>
    <w:rsid w:val="000129CF"/>
    <w:rsid w:val="00012A6F"/>
    <w:rsid w:val="0001313D"/>
    <w:rsid w:val="000131C5"/>
    <w:rsid w:val="0001326F"/>
    <w:rsid w:val="0001359E"/>
    <w:rsid w:val="00014B4B"/>
    <w:rsid w:val="000168DD"/>
    <w:rsid w:val="00017CF0"/>
    <w:rsid w:val="000202EA"/>
    <w:rsid w:val="0002098F"/>
    <w:rsid w:val="000215FE"/>
    <w:rsid w:val="000218B1"/>
    <w:rsid w:val="00021AC3"/>
    <w:rsid w:val="00021BC4"/>
    <w:rsid w:val="00022300"/>
    <w:rsid w:val="0002260C"/>
    <w:rsid w:val="00022764"/>
    <w:rsid w:val="00022F63"/>
    <w:rsid w:val="0002344A"/>
    <w:rsid w:val="00023637"/>
    <w:rsid w:val="00023C44"/>
    <w:rsid w:val="000248AC"/>
    <w:rsid w:val="00024B07"/>
    <w:rsid w:val="0002528D"/>
    <w:rsid w:val="0002529C"/>
    <w:rsid w:val="00026147"/>
    <w:rsid w:val="000264C2"/>
    <w:rsid w:val="00027CB6"/>
    <w:rsid w:val="00027E08"/>
    <w:rsid w:val="00030210"/>
    <w:rsid w:val="00030C31"/>
    <w:rsid w:val="000311DE"/>
    <w:rsid w:val="00032F84"/>
    <w:rsid w:val="000330BE"/>
    <w:rsid w:val="00033F2A"/>
    <w:rsid w:val="000344CA"/>
    <w:rsid w:val="00035C88"/>
    <w:rsid w:val="00036127"/>
    <w:rsid w:val="000361E9"/>
    <w:rsid w:val="00037450"/>
    <w:rsid w:val="000378E2"/>
    <w:rsid w:val="00040849"/>
    <w:rsid w:val="00041083"/>
    <w:rsid w:val="00041123"/>
    <w:rsid w:val="00041D80"/>
    <w:rsid w:val="000422AF"/>
    <w:rsid w:val="000424AE"/>
    <w:rsid w:val="000428FF"/>
    <w:rsid w:val="000429BF"/>
    <w:rsid w:val="00043242"/>
    <w:rsid w:val="00044975"/>
    <w:rsid w:val="00046017"/>
    <w:rsid w:val="00046130"/>
    <w:rsid w:val="000463F8"/>
    <w:rsid w:val="00046FDD"/>
    <w:rsid w:val="000471E0"/>
    <w:rsid w:val="00047219"/>
    <w:rsid w:val="000473A7"/>
    <w:rsid w:val="000501BF"/>
    <w:rsid w:val="00050860"/>
    <w:rsid w:val="00051ADF"/>
    <w:rsid w:val="00051F59"/>
    <w:rsid w:val="00053265"/>
    <w:rsid w:val="00053573"/>
    <w:rsid w:val="0005373A"/>
    <w:rsid w:val="00053D14"/>
    <w:rsid w:val="00054DC2"/>
    <w:rsid w:val="00054FA7"/>
    <w:rsid w:val="000557CD"/>
    <w:rsid w:val="00055B8A"/>
    <w:rsid w:val="00055B9B"/>
    <w:rsid w:val="00055E08"/>
    <w:rsid w:val="000561CE"/>
    <w:rsid w:val="00057627"/>
    <w:rsid w:val="00057644"/>
    <w:rsid w:val="00057BA1"/>
    <w:rsid w:val="00060406"/>
    <w:rsid w:val="000609CA"/>
    <w:rsid w:val="00060B6A"/>
    <w:rsid w:val="000624AD"/>
    <w:rsid w:val="00063505"/>
    <w:rsid w:val="00063895"/>
    <w:rsid w:val="000641F8"/>
    <w:rsid w:val="00064565"/>
    <w:rsid w:val="00064DFF"/>
    <w:rsid w:val="00064EE6"/>
    <w:rsid w:val="0006502B"/>
    <w:rsid w:val="00065C3B"/>
    <w:rsid w:val="000664FC"/>
    <w:rsid w:val="00066C12"/>
    <w:rsid w:val="00067A62"/>
    <w:rsid w:val="00071496"/>
    <w:rsid w:val="00071A59"/>
    <w:rsid w:val="00072384"/>
    <w:rsid w:val="000724C2"/>
    <w:rsid w:val="000730D8"/>
    <w:rsid w:val="00073BAD"/>
    <w:rsid w:val="00073DA0"/>
    <w:rsid w:val="00074DB5"/>
    <w:rsid w:val="00074F86"/>
    <w:rsid w:val="000769E9"/>
    <w:rsid w:val="000770C7"/>
    <w:rsid w:val="00077507"/>
    <w:rsid w:val="00077756"/>
    <w:rsid w:val="00077BBC"/>
    <w:rsid w:val="000801E0"/>
    <w:rsid w:val="000805DC"/>
    <w:rsid w:val="00080B53"/>
    <w:rsid w:val="00082378"/>
    <w:rsid w:val="000830A1"/>
    <w:rsid w:val="000832BD"/>
    <w:rsid w:val="00084252"/>
    <w:rsid w:val="00086440"/>
    <w:rsid w:val="000901C4"/>
    <w:rsid w:val="0009043B"/>
    <w:rsid w:val="000907BE"/>
    <w:rsid w:val="000907C1"/>
    <w:rsid w:val="00091102"/>
    <w:rsid w:val="00091FEB"/>
    <w:rsid w:val="00092595"/>
    <w:rsid w:val="000925A7"/>
    <w:rsid w:val="00093260"/>
    <w:rsid w:val="00093519"/>
    <w:rsid w:val="00093534"/>
    <w:rsid w:val="000935F4"/>
    <w:rsid w:val="000939CC"/>
    <w:rsid w:val="000943DB"/>
    <w:rsid w:val="0009532A"/>
    <w:rsid w:val="000958E7"/>
    <w:rsid w:val="00095FDD"/>
    <w:rsid w:val="0009620F"/>
    <w:rsid w:val="00097A29"/>
    <w:rsid w:val="000A100F"/>
    <w:rsid w:val="000A122D"/>
    <w:rsid w:val="000A1AE0"/>
    <w:rsid w:val="000A20E8"/>
    <w:rsid w:val="000A359F"/>
    <w:rsid w:val="000A456E"/>
    <w:rsid w:val="000A4575"/>
    <w:rsid w:val="000A4D8C"/>
    <w:rsid w:val="000A4F1B"/>
    <w:rsid w:val="000A5394"/>
    <w:rsid w:val="000A743E"/>
    <w:rsid w:val="000A783A"/>
    <w:rsid w:val="000A7D0A"/>
    <w:rsid w:val="000B11C5"/>
    <w:rsid w:val="000B178E"/>
    <w:rsid w:val="000B1D15"/>
    <w:rsid w:val="000B1E80"/>
    <w:rsid w:val="000B2880"/>
    <w:rsid w:val="000B2E78"/>
    <w:rsid w:val="000B2FC7"/>
    <w:rsid w:val="000B330C"/>
    <w:rsid w:val="000B3C03"/>
    <w:rsid w:val="000B5D5F"/>
    <w:rsid w:val="000B6D25"/>
    <w:rsid w:val="000B6DD6"/>
    <w:rsid w:val="000B7B31"/>
    <w:rsid w:val="000C09F4"/>
    <w:rsid w:val="000C0AB9"/>
    <w:rsid w:val="000C17CD"/>
    <w:rsid w:val="000C18A2"/>
    <w:rsid w:val="000C1D34"/>
    <w:rsid w:val="000C2B5B"/>
    <w:rsid w:val="000C2BBE"/>
    <w:rsid w:val="000C2D59"/>
    <w:rsid w:val="000C2F9F"/>
    <w:rsid w:val="000C2FA4"/>
    <w:rsid w:val="000C3AD0"/>
    <w:rsid w:val="000C44DD"/>
    <w:rsid w:val="000C4553"/>
    <w:rsid w:val="000C57C0"/>
    <w:rsid w:val="000C7940"/>
    <w:rsid w:val="000D0776"/>
    <w:rsid w:val="000D1972"/>
    <w:rsid w:val="000D25C0"/>
    <w:rsid w:val="000D273D"/>
    <w:rsid w:val="000D2B3A"/>
    <w:rsid w:val="000D38E5"/>
    <w:rsid w:val="000D432A"/>
    <w:rsid w:val="000D5A69"/>
    <w:rsid w:val="000D5B90"/>
    <w:rsid w:val="000D66F3"/>
    <w:rsid w:val="000D6A88"/>
    <w:rsid w:val="000D7022"/>
    <w:rsid w:val="000D7398"/>
    <w:rsid w:val="000D7F41"/>
    <w:rsid w:val="000E19C8"/>
    <w:rsid w:val="000E2129"/>
    <w:rsid w:val="000E21FA"/>
    <w:rsid w:val="000E23F5"/>
    <w:rsid w:val="000E26D6"/>
    <w:rsid w:val="000E2CE4"/>
    <w:rsid w:val="000E3656"/>
    <w:rsid w:val="000E374C"/>
    <w:rsid w:val="000E3FEB"/>
    <w:rsid w:val="000E434C"/>
    <w:rsid w:val="000E56BE"/>
    <w:rsid w:val="000E5E45"/>
    <w:rsid w:val="000E5E8D"/>
    <w:rsid w:val="000E6086"/>
    <w:rsid w:val="000E691C"/>
    <w:rsid w:val="000E7A98"/>
    <w:rsid w:val="000E7AFB"/>
    <w:rsid w:val="000F09B0"/>
    <w:rsid w:val="000F1973"/>
    <w:rsid w:val="000F218B"/>
    <w:rsid w:val="000F2BB2"/>
    <w:rsid w:val="000F3172"/>
    <w:rsid w:val="000F32AC"/>
    <w:rsid w:val="000F3414"/>
    <w:rsid w:val="000F3E4D"/>
    <w:rsid w:val="000F443B"/>
    <w:rsid w:val="000F4906"/>
    <w:rsid w:val="000F4BA6"/>
    <w:rsid w:val="000F56CF"/>
    <w:rsid w:val="000F6FF0"/>
    <w:rsid w:val="000F716A"/>
    <w:rsid w:val="000F7355"/>
    <w:rsid w:val="000F7AB4"/>
    <w:rsid w:val="0010028A"/>
    <w:rsid w:val="0010094E"/>
    <w:rsid w:val="0010260A"/>
    <w:rsid w:val="001029A3"/>
    <w:rsid w:val="0010319E"/>
    <w:rsid w:val="00103224"/>
    <w:rsid w:val="00103BD4"/>
    <w:rsid w:val="00103E14"/>
    <w:rsid w:val="0010402E"/>
    <w:rsid w:val="00104D92"/>
    <w:rsid w:val="00105143"/>
    <w:rsid w:val="001072C6"/>
    <w:rsid w:val="001076BB"/>
    <w:rsid w:val="00107786"/>
    <w:rsid w:val="00107D74"/>
    <w:rsid w:val="001101D2"/>
    <w:rsid w:val="00110A6C"/>
    <w:rsid w:val="001116A8"/>
    <w:rsid w:val="00111DB7"/>
    <w:rsid w:val="00111F0E"/>
    <w:rsid w:val="00112DC7"/>
    <w:rsid w:val="0011343A"/>
    <w:rsid w:val="00113DA8"/>
    <w:rsid w:val="00113EE4"/>
    <w:rsid w:val="0011462B"/>
    <w:rsid w:val="00114ADF"/>
    <w:rsid w:val="00115777"/>
    <w:rsid w:val="00116FD3"/>
    <w:rsid w:val="001170B7"/>
    <w:rsid w:val="00117135"/>
    <w:rsid w:val="001178CB"/>
    <w:rsid w:val="00117DEE"/>
    <w:rsid w:val="001209F6"/>
    <w:rsid w:val="00120E76"/>
    <w:rsid w:val="00120EE8"/>
    <w:rsid w:val="0012121B"/>
    <w:rsid w:val="001218FF"/>
    <w:rsid w:val="00121BE7"/>
    <w:rsid w:val="001223E2"/>
    <w:rsid w:val="001225FF"/>
    <w:rsid w:val="00122C6E"/>
    <w:rsid w:val="001230A1"/>
    <w:rsid w:val="00125EDD"/>
    <w:rsid w:val="00126762"/>
    <w:rsid w:val="0012695E"/>
    <w:rsid w:val="00127203"/>
    <w:rsid w:val="001302D8"/>
    <w:rsid w:val="00131194"/>
    <w:rsid w:val="001311FF"/>
    <w:rsid w:val="001312A0"/>
    <w:rsid w:val="001320CE"/>
    <w:rsid w:val="001321F6"/>
    <w:rsid w:val="00132BB7"/>
    <w:rsid w:val="00133567"/>
    <w:rsid w:val="00133AB5"/>
    <w:rsid w:val="00134585"/>
    <w:rsid w:val="001353BC"/>
    <w:rsid w:val="00135DA8"/>
    <w:rsid w:val="00136963"/>
    <w:rsid w:val="0013697B"/>
    <w:rsid w:val="00136D11"/>
    <w:rsid w:val="00136E1E"/>
    <w:rsid w:val="00136E9B"/>
    <w:rsid w:val="001371D9"/>
    <w:rsid w:val="0013759B"/>
    <w:rsid w:val="00137822"/>
    <w:rsid w:val="0013792D"/>
    <w:rsid w:val="00140E30"/>
    <w:rsid w:val="00140E87"/>
    <w:rsid w:val="00141407"/>
    <w:rsid w:val="0014196E"/>
    <w:rsid w:val="00141D52"/>
    <w:rsid w:val="0014220C"/>
    <w:rsid w:val="00142C96"/>
    <w:rsid w:val="0014422E"/>
    <w:rsid w:val="00144D7D"/>
    <w:rsid w:val="001456EB"/>
    <w:rsid w:val="00145B89"/>
    <w:rsid w:val="00145F43"/>
    <w:rsid w:val="001464D5"/>
    <w:rsid w:val="0014671B"/>
    <w:rsid w:val="0014740F"/>
    <w:rsid w:val="00147D02"/>
    <w:rsid w:val="001505CB"/>
    <w:rsid w:val="001512AA"/>
    <w:rsid w:val="00152113"/>
    <w:rsid w:val="00153ED1"/>
    <w:rsid w:val="001540A6"/>
    <w:rsid w:val="00154119"/>
    <w:rsid w:val="001551A8"/>
    <w:rsid w:val="0015596D"/>
    <w:rsid w:val="001562DC"/>
    <w:rsid w:val="0016010E"/>
    <w:rsid w:val="00160E78"/>
    <w:rsid w:val="00160EA2"/>
    <w:rsid w:val="0016148D"/>
    <w:rsid w:val="00161849"/>
    <w:rsid w:val="00161ADA"/>
    <w:rsid w:val="00161E03"/>
    <w:rsid w:val="00162E22"/>
    <w:rsid w:val="00162EE0"/>
    <w:rsid w:val="00163070"/>
    <w:rsid w:val="001638E7"/>
    <w:rsid w:val="00164065"/>
    <w:rsid w:val="00164184"/>
    <w:rsid w:val="00164A81"/>
    <w:rsid w:val="001655D7"/>
    <w:rsid w:val="00166E59"/>
    <w:rsid w:val="00166FE5"/>
    <w:rsid w:val="0016799C"/>
    <w:rsid w:val="00170FF9"/>
    <w:rsid w:val="001713B2"/>
    <w:rsid w:val="001718E9"/>
    <w:rsid w:val="00171A6A"/>
    <w:rsid w:val="00171C53"/>
    <w:rsid w:val="00172675"/>
    <w:rsid w:val="00173DC8"/>
    <w:rsid w:val="00174026"/>
    <w:rsid w:val="00174C29"/>
    <w:rsid w:val="00174D56"/>
    <w:rsid w:val="001758A5"/>
    <w:rsid w:val="00175B1D"/>
    <w:rsid w:val="0017673C"/>
    <w:rsid w:val="00176919"/>
    <w:rsid w:val="00176C0C"/>
    <w:rsid w:val="00176D2E"/>
    <w:rsid w:val="00177348"/>
    <w:rsid w:val="00177DC1"/>
    <w:rsid w:val="001803C6"/>
    <w:rsid w:val="001808E4"/>
    <w:rsid w:val="00180E6E"/>
    <w:rsid w:val="001820A4"/>
    <w:rsid w:val="00182C13"/>
    <w:rsid w:val="0018306A"/>
    <w:rsid w:val="0018488C"/>
    <w:rsid w:val="00185585"/>
    <w:rsid w:val="00185602"/>
    <w:rsid w:val="00185945"/>
    <w:rsid w:val="00185B10"/>
    <w:rsid w:val="00186125"/>
    <w:rsid w:val="001865EC"/>
    <w:rsid w:val="001867FB"/>
    <w:rsid w:val="0018723A"/>
    <w:rsid w:val="00187BCD"/>
    <w:rsid w:val="00187EB5"/>
    <w:rsid w:val="001900FB"/>
    <w:rsid w:val="00190BC3"/>
    <w:rsid w:val="001914AB"/>
    <w:rsid w:val="00191DBB"/>
    <w:rsid w:val="00192295"/>
    <w:rsid w:val="001926BC"/>
    <w:rsid w:val="00192FC3"/>
    <w:rsid w:val="00194602"/>
    <w:rsid w:val="00194E6C"/>
    <w:rsid w:val="00195083"/>
    <w:rsid w:val="001953BC"/>
    <w:rsid w:val="00195459"/>
    <w:rsid w:val="00195525"/>
    <w:rsid w:val="00195E03"/>
    <w:rsid w:val="00195EBF"/>
    <w:rsid w:val="00196290"/>
    <w:rsid w:val="001966FC"/>
    <w:rsid w:val="0019691F"/>
    <w:rsid w:val="00197342"/>
    <w:rsid w:val="001976A8"/>
    <w:rsid w:val="0019798A"/>
    <w:rsid w:val="001979E8"/>
    <w:rsid w:val="001A04BD"/>
    <w:rsid w:val="001A1121"/>
    <w:rsid w:val="001A1209"/>
    <w:rsid w:val="001A2324"/>
    <w:rsid w:val="001A379D"/>
    <w:rsid w:val="001A4DA5"/>
    <w:rsid w:val="001A53CE"/>
    <w:rsid w:val="001A5710"/>
    <w:rsid w:val="001A576D"/>
    <w:rsid w:val="001A5AA8"/>
    <w:rsid w:val="001A60D3"/>
    <w:rsid w:val="001A6F11"/>
    <w:rsid w:val="001A7286"/>
    <w:rsid w:val="001A782A"/>
    <w:rsid w:val="001B006B"/>
    <w:rsid w:val="001B03E7"/>
    <w:rsid w:val="001B06B2"/>
    <w:rsid w:val="001B1093"/>
    <w:rsid w:val="001B118C"/>
    <w:rsid w:val="001B181E"/>
    <w:rsid w:val="001B195C"/>
    <w:rsid w:val="001B1987"/>
    <w:rsid w:val="001B2659"/>
    <w:rsid w:val="001B33C3"/>
    <w:rsid w:val="001B3B1F"/>
    <w:rsid w:val="001B58D2"/>
    <w:rsid w:val="001B59C0"/>
    <w:rsid w:val="001B5AC6"/>
    <w:rsid w:val="001B5CC2"/>
    <w:rsid w:val="001B63B0"/>
    <w:rsid w:val="001B6F9D"/>
    <w:rsid w:val="001B70A0"/>
    <w:rsid w:val="001B7176"/>
    <w:rsid w:val="001B75FC"/>
    <w:rsid w:val="001C0492"/>
    <w:rsid w:val="001C0685"/>
    <w:rsid w:val="001C06B3"/>
    <w:rsid w:val="001C073A"/>
    <w:rsid w:val="001C0C02"/>
    <w:rsid w:val="001C21CD"/>
    <w:rsid w:val="001C29B7"/>
    <w:rsid w:val="001C35DF"/>
    <w:rsid w:val="001C5070"/>
    <w:rsid w:val="001C58CE"/>
    <w:rsid w:val="001C60BB"/>
    <w:rsid w:val="001C64A0"/>
    <w:rsid w:val="001C6CB8"/>
    <w:rsid w:val="001C767A"/>
    <w:rsid w:val="001C7C04"/>
    <w:rsid w:val="001D10FB"/>
    <w:rsid w:val="001D219A"/>
    <w:rsid w:val="001D3253"/>
    <w:rsid w:val="001D3D5E"/>
    <w:rsid w:val="001D476C"/>
    <w:rsid w:val="001D4BD1"/>
    <w:rsid w:val="001D4DCB"/>
    <w:rsid w:val="001D52AA"/>
    <w:rsid w:val="001D5387"/>
    <w:rsid w:val="001D6CB3"/>
    <w:rsid w:val="001D6E4D"/>
    <w:rsid w:val="001D7FE5"/>
    <w:rsid w:val="001E0130"/>
    <w:rsid w:val="001E0B85"/>
    <w:rsid w:val="001E1276"/>
    <w:rsid w:val="001E1ADE"/>
    <w:rsid w:val="001E26CB"/>
    <w:rsid w:val="001E286C"/>
    <w:rsid w:val="001E3885"/>
    <w:rsid w:val="001E3AFC"/>
    <w:rsid w:val="001E4B01"/>
    <w:rsid w:val="001E4BF3"/>
    <w:rsid w:val="001E65F2"/>
    <w:rsid w:val="001E7E78"/>
    <w:rsid w:val="001F1883"/>
    <w:rsid w:val="001F1A7A"/>
    <w:rsid w:val="001F1B0E"/>
    <w:rsid w:val="001F24BC"/>
    <w:rsid w:val="001F2C37"/>
    <w:rsid w:val="001F3A41"/>
    <w:rsid w:val="001F4144"/>
    <w:rsid w:val="001F4458"/>
    <w:rsid w:val="001F4BA1"/>
    <w:rsid w:val="001F5F6F"/>
    <w:rsid w:val="001F6A5E"/>
    <w:rsid w:val="001F7ED0"/>
    <w:rsid w:val="00200209"/>
    <w:rsid w:val="0020036C"/>
    <w:rsid w:val="002004C3"/>
    <w:rsid w:val="00200AA2"/>
    <w:rsid w:val="0020155D"/>
    <w:rsid w:val="00201758"/>
    <w:rsid w:val="00201FDC"/>
    <w:rsid w:val="00202269"/>
    <w:rsid w:val="00203099"/>
    <w:rsid w:val="002033A7"/>
    <w:rsid w:val="002036F2"/>
    <w:rsid w:val="002042EC"/>
    <w:rsid w:val="00204EC6"/>
    <w:rsid w:val="00204F45"/>
    <w:rsid w:val="0020562D"/>
    <w:rsid w:val="00206FBD"/>
    <w:rsid w:val="002075F9"/>
    <w:rsid w:val="0020793B"/>
    <w:rsid w:val="002104CA"/>
    <w:rsid w:val="002105E5"/>
    <w:rsid w:val="00210861"/>
    <w:rsid w:val="00210A80"/>
    <w:rsid w:val="00210ACD"/>
    <w:rsid w:val="00211F21"/>
    <w:rsid w:val="0021424C"/>
    <w:rsid w:val="002144A9"/>
    <w:rsid w:val="0021521D"/>
    <w:rsid w:val="002158BB"/>
    <w:rsid w:val="00216C43"/>
    <w:rsid w:val="00216EDA"/>
    <w:rsid w:val="0021712E"/>
    <w:rsid w:val="00217DE2"/>
    <w:rsid w:val="00217FD8"/>
    <w:rsid w:val="00220599"/>
    <w:rsid w:val="00221E4F"/>
    <w:rsid w:val="00221F25"/>
    <w:rsid w:val="0022213C"/>
    <w:rsid w:val="00222BFD"/>
    <w:rsid w:val="002254CB"/>
    <w:rsid w:val="00225809"/>
    <w:rsid w:val="00225D3F"/>
    <w:rsid w:val="00226970"/>
    <w:rsid w:val="002270D8"/>
    <w:rsid w:val="002316D1"/>
    <w:rsid w:val="00231CB0"/>
    <w:rsid w:val="002323E6"/>
    <w:rsid w:val="00232C00"/>
    <w:rsid w:val="00232E8A"/>
    <w:rsid w:val="00234609"/>
    <w:rsid w:val="0023498B"/>
    <w:rsid w:val="002365F6"/>
    <w:rsid w:val="0023683F"/>
    <w:rsid w:val="002372BB"/>
    <w:rsid w:val="00237D1D"/>
    <w:rsid w:val="00240266"/>
    <w:rsid w:val="0024067A"/>
    <w:rsid w:val="00242E5A"/>
    <w:rsid w:val="00243887"/>
    <w:rsid w:val="00244B44"/>
    <w:rsid w:val="00244FDD"/>
    <w:rsid w:val="00246C37"/>
    <w:rsid w:val="0025004B"/>
    <w:rsid w:val="00250F91"/>
    <w:rsid w:val="002515D9"/>
    <w:rsid w:val="00251FD8"/>
    <w:rsid w:val="00252402"/>
    <w:rsid w:val="00252CA5"/>
    <w:rsid w:val="00252F28"/>
    <w:rsid w:val="002541E0"/>
    <w:rsid w:val="00254F55"/>
    <w:rsid w:val="00255065"/>
    <w:rsid w:val="00255965"/>
    <w:rsid w:val="00256C08"/>
    <w:rsid w:val="00256C1C"/>
    <w:rsid w:val="00256CF8"/>
    <w:rsid w:val="00257A28"/>
    <w:rsid w:val="002600E3"/>
    <w:rsid w:val="0026121C"/>
    <w:rsid w:val="0026193C"/>
    <w:rsid w:val="00261AD7"/>
    <w:rsid w:val="00261AEF"/>
    <w:rsid w:val="00262F18"/>
    <w:rsid w:val="0026395D"/>
    <w:rsid w:val="00264033"/>
    <w:rsid w:val="00264EB1"/>
    <w:rsid w:val="0026692C"/>
    <w:rsid w:val="00266D34"/>
    <w:rsid w:val="00267554"/>
    <w:rsid w:val="00267F8B"/>
    <w:rsid w:val="00270CD1"/>
    <w:rsid w:val="0027113B"/>
    <w:rsid w:val="00271499"/>
    <w:rsid w:val="00271C7C"/>
    <w:rsid w:val="002739CB"/>
    <w:rsid w:val="00273C94"/>
    <w:rsid w:val="00274DEE"/>
    <w:rsid w:val="002760DF"/>
    <w:rsid w:val="0027680F"/>
    <w:rsid w:val="00276924"/>
    <w:rsid w:val="00276DC4"/>
    <w:rsid w:val="0027778B"/>
    <w:rsid w:val="00277906"/>
    <w:rsid w:val="00277A08"/>
    <w:rsid w:val="00280342"/>
    <w:rsid w:val="00280859"/>
    <w:rsid w:val="00281765"/>
    <w:rsid w:val="00282F3F"/>
    <w:rsid w:val="0028395C"/>
    <w:rsid w:val="002846FB"/>
    <w:rsid w:val="00284DFB"/>
    <w:rsid w:val="002850CF"/>
    <w:rsid w:val="002855B9"/>
    <w:rsid w:val="00285926"/>
    <w:rsid w:val="00285CFE"/>
    <w:rsid w:val="00285D2C"/>
    <w:rsid w:val="002868FC"/>
    <w:rsid w:val="0028734D"/>
    <w:rsid w:val="00287E22"/>
    <w:rsid w:val="002905EA"/>
    <w:rsid w:val="0029166C"/>
    <w:rsid w:val="0029214E"/>
    <w:rsid w:val="002925E0"/>
    <w:rsid w:val="00295032"/>
    <w:rsid w:val="002950BD"/>
    <w:rsid w:val="00297760"/>
    <w:rsid w:val="002977F6"/>
    <w:rsid w:val="00297992"/>
    <w:rsid w:val="00297C70"/>
    <w:rsid w:val="002A063D"/>
    <w:rsid w:val="002A0654"/>
    <w:rsid w:val="002A1536"/>
    <w:rsid w:val="002A3A0E"/>
    <w:rsid w:val="002A3D16"/>
    <w:rsid w:val="002A457B"/>
    <w:rsid w:val="002A495C"/>
    <w:rsid w:val="002A4AE0"/>
    <w:rsid w:val="002A4D3E"/>
    <w:rsid w:val="002A4FDB"/>
    <w:rsid w:val="002A502B"/>
    <w:rsid w:val="002A5B39"/>
    <w:rsid w:val="002A6673"/>
    <w:rsid w:val="002A6A94"/>
    <w:rsid w:val="002A6D6E"/>
    <w:rsid w:val="002A7034"/>
    <w:rsid w:val="002A75A1"/>
    <w:rsid w:val="002B0247"/>
    <w:rsid w:val="002B0342"/>
    <w:rsid w:val="002B0507"/>
    <w:rsid w:val="002B0975"/>
    <w:rsid w:val="002B0A57"/>
    <w:rsid w:val="002B1852"/>
    <w:rsid w:val="002B1877"/>
    <w:rsid w:val="002B1DC0"/>
    <w:rsid w:val="002B1F5E"/>
    <w:rsid w:val="002B2C26"/>
    <w:rsid w:val="002B3179"/>
    <w:rsid w:val="002B33C5"/>
    <w:rsid w:val="002B35DB"/>
    <w:rsid w:val="002B3D17"/>
    <w:rsid w:val="002B4662"/>
    <w:rsid w:val="002B6004"/>
    <w:rsid w:val="002B6103"/>
    <w:rsid w:val="002B67B1"/>
    <w:rsid w:val="002B6812"/>
    <w:rsid w:val="002B73FA"/>
    <w:rsid w:val="002B76EC"/>
    <w:rsid w:val="002C070A"/>
    <w:rsid w:val="002C0885"/>
    <w:rsid w:val="002C10B2"/>
    <w:rsid w:val="002C14DF"/>
    <w:rsid w:val="002C27F8"/>
    <w:rsid w:val="002C28B5"/>
    <w:rsid w:val="002C2B8B"/>
    <w:rsid w:val="002C2F0D"/>
    <w:rsid w:val="002C3784"/>
    <w:rsid w:val="002C4401"/>
    <w:rsid w:val="002C5C69"/>
    <w:rsid w:val="002C5FC3"/>
    <w:rsid w:val="002C6020"/>
    <w:rsid w:val="002C63B7"/>
    <w:rsid w:val="002C7331"/>
    <w:rsid w:val="002C7BDC"/>
    <w:rsid w:val="002C7C3E"/>
    <w:rsid w:val="002C7D81"/>
    <w:rsid w:val="002D06D0"/>
    <w:rsid w:val="002D0CDE"/>
    <w:rsid w:val="002D225B"/>
    <w:rsid w:val="002D2E7C"/>
    <w:rsid w:val="002D30DD"/>
    <w:rsid w:val="002D3BC8"/>
    <w:rsid w:val="002D40AC"/>
    <w:rsid w:val="002D484A"/>
    <w:rsid w:val="002D4DA7"/>
    <w:rsid w:val="002D6C5B"/>
    <w:rsid w:val="002D6D2F"/>
    <w:rsid w:val="002D70BB"/>
    <w:rsid w:val="002D7177"/>
    <w:rsid w:val="002D771F"/>
    <w:rsid w:val="002D7A95"/>
    <w:rsid w:val="002D7CE3"/>
    <w:rsid w:val="002E005C"/>
    <w:rsid w:val="002E03D9"/>
    <w:rsid w:val="002E1D9A"/>
    <w:rsid w:val="002E247A"/>
    <w:rsid w:val="002E3147"/>
    <w:rsid w:val="002E4C92"/>
    <w:rsid w:val="002E4F05"/>
    <w:rsid w:val="002E5095"/>
    <w:rsid w:val="002E63E3"/>
    <w:rsid w:val="002E775C"/>
    <w:rsid w:val="002F0A52"/>
    <w:rsid w:val="002F0AD5"/>
    <w:rsid w:val="002F0C50"/>
    <w:rsid w:val="002F10A2"/>
    <w:rsid w:val="002F17A1"/>
    <w:rsid w:val="002F1AB6"/>
    <w:rsid w:val="002F3F1C"/>
    <w:rsid w:val="002F4671"/>
    <w:rsid w:val="002F527C"/>
    <w:rsid w:val="002F5E20"/>
    <w:rsid w:val="002F6A6A"/>
    <w:rsid w:val="002F71D4"/>
    <w:rsid w:val="002F7EC3"/>
    <w:rsid w:val="003000AF"/>
    <w:rsid w:val="0030043F"/>
    <w:rsid w:val="0030087B"/>
    <w:rsid w:val="003011CA"/>
    <w:rsid w:val="0030129D"/>
    <w:rsid w:val="00302221"/>
    <w:rsid w:val="003027AF"/>
    <w:rsid w:val="003032C1"/>
    <w:rsid w:val="003033AC"/>
    <w:rsid w:val="00303856"/>
    <w:rsid w:val="00303D88"/>
    <w:rsid w:val="0030441C"/>
    <w:rsid w:val="00304A76"/>
    <w:rsid w:val="00304DE8"/>
    <w:rsid w:val="0030778B"/>
    <w:rsid w:val="00307D4B"/>
    <w:rsid w:val="003103FA"/>
    <w:rsid w:val="0031049A"/>
    <w:rsid w:val="00310795"/>
    <w:rsid w:val="00310A10"/>
    <w:rsid w:val="00310C83"/>
    <w:rsid w:val="0031137A"/>
    <w:rsid w:val="0031259C"/>
    <w:rsid w:val="0031362D"/>
    <w:rsid w:val="00313A36"/>
    <w:rsid w:val="00313D40"/>
    <w:rsid w:val="0031414B"/>
    <w:rsid w:val="003142EF"/>
    <w:rsid w:val="0031481D"/>
    <w:rsid w:val="00314A66"/>
    <w:rsid w:val="0031567D"/>
    <w:rsid w:val="00315E6C"/>
    <w:rsid w:val="003164DE"/>
    <w:rsid w:val="00317AA0"/>
    <w:rsid w:val="00320C12"/>
    <w:rsid w:val="00320E56"/>
    <w:rsid w:val="00321F7C"/>
    <w:rsid w:val="003224E0"/>
    <w:rsid w:val="0032371A"/>
    <w:rsid w:val="00323872"/>
    <w:rsid w:val="003239A6"/>
    <w:rsid w:val="00324092"/>
    <w:rsid w:val="003244FE"/>
    <w:rsid w:val="00324D0B"/>
    <w:rsid w:val="0032540C"/>
    <w:rsid w:val="00325748"/>
    <w:rsid w:val="003268A5"/>
    <w:rsid w:val="00326BB2"/>
    <w:rsid w:val="003277BE"/>
    <w:rsid w:val="0033041A"/>
    <w:rsid w:val="00332847"/>
    <w:rsid w:val="00332916"/>
    <w:rsid w:val="00332CB5"/>
    <w:rsid w:val="0033334A"/>
    <w:rsid w:val="00333757"/>
    <w:rsid w:val="00333B2F"/>
    <w:rsid w:val="00333B92"/>
    <w:rsid w:val="00334184"/>
    <w:rsid w:val="00335790"/>
    <w:rsid w:val="00335A0C"/>
    <w:rsid w:val="00335ACD"/>
    <w:rsid w:val="00335BA3"/>
    <w:rsid w:val="00335BAF"/>
    <w:rsid w:val="00335FA6"/>
    <w:rsid w:val="003360AA"/>
    <w:rsid w:val="00337FE8"/>
    <w:rsid w:val="003400AA"/>
    <w:rsid w:val="003418DB"/>
    <w:rsid w:val="00341D3B"/>
    <w:rsid w:val="00342096"/>
    <w:rsid w:val="00342237"/>
    <w:rsid w:val="0034240C"/>
    <w:rsid w:val="003424BE"/>
    <w:rsid w:val="00342865"/>
    <w:rsid w:val="00342D11"/>
    <w:rsid w:val="003437B8"/>
    <w:rsid w:val="00343DA8"/>
    <w:rsid w:val="003441C0"/>
    <w:rsid w:val="00344CE3"/>
    <w:rsid w:val="00344FAF"/>
    <w:rsid w:val="003455A3"/>
    <w:rsid w:val="00346184"/>
    <w:rsid w:val="00346325"/>
    <w:rsid w:val="0034642A"/>
    <w:rsid w:val="00346518"/>
    <w:rsid w:val="003479E2"/>
    <w:rsid w:val="00350CF4"/>
    <w:rsid w:val="003517E2"/>
    <w:rsid w:val="00352225"/>
    <w:rsid w:val="003523BD"/>
    <w:rsid w:val="00352888"/>
    <w:rsid w:val="00352DE4"/>
    <w:rsid w:val="0035342F"/>
    <w:rsid w:val="003538D1"/>
    <w:rsid w:val="00354132"/>
    <w:rsid w:val="003545CA"/>
    <w:rsid w:val="0035548F"/>
    <w:rsid w:val="00356044"/>
    <w:rsid w:val="00356539"/>
    <w:rsid w:val="00356683"/>
    <w:rsid w:val="00356B74"/>
    <w:rsid w:val="00357195"/>
    <w:rsid w:val="003572E5"/>
    <w:rsid w:val="00357386"/>
    <w:rsid w:val="0035760A"/>
    <w:rsid w:val="00357A4B"/>
    <w:rsid w:val="003605D2"/>
    <w:rsid w:val="00360AFD"/>
    <w:rsid w:val="0036173E"/>
    <w:rsid w:val="003632C9"/>
    <w:rsid w:val="0036333F"/>
    <w:rsid w:val="003635F8"/>
    <w:rsid w:val="003638D7"/>
    <w:rsid w:val="00363F67"/>
    <w:rsid w:val="00363FD5"/>
    <w:rsid w:val="00367EE8"/>
    <w:rsid w:val="00367F01"/>
    <w:rsid w:val="003704F5"/>
    <w:rsid w:val="003715FD"/>
    <w:rsid w:val="00371611"/>
    <w:rsid w:val="00372161"/>
    <w:rsid w:val="00372ADA"/>
    <w:rsid w:val="00372FD8"/>
    <w:rsid w:val="00374042"/>
    <w:rsid w:val="00374A28"/>
    <w:rsid w:val="00374E66"/>
    <w:rsid w:val="003752CE"/>
    <w:rsid w:val="003753A6"/>
    <w:rsid w:val="00375A26"/>
    <w:rsid w:val="0037684B"/>
    <w:rsid w:val="0037692D"/>
    <w:rsid w:val="00376F8D"/>
    <w:rsid w:val="0037742D"/>
    <w:rsid w:val="00377DC6"/>
    <w:rsid w:val="00377F6E"/>
    <w:rsid w:val="00380910"/>
    <w:rsid w:val="00382262"/>
    <w:rsid w:val="00382571"/>
    <w:rsid w:val="0038257A"/>
    <w:rsid w:val="00382C43"/>
    <w:rsid w:val="00382C83"/>
    <w:rsid w:val="00383834"/>
    <w:rsid w:val="003850CF"/>
    <w:rsid w:val="00385A2D"/>
    <w:rsid w:val="003862EF"/>
    <w:rsid w:val="0038648F"/>
    <w:rsid w:val="00387098"/>
    <w:rsid w:val="00387DF7"/>
    <w:rsid w:val="00391F1E"/>
    <w:rsid w:val="00391FDC"/>
    <w:rsid w:val="00392CB9"/>
    <w:rsid w:val="003934F3"/>
    <w:rsid w:val="00393D07"/>
    <w:rsid w:val="00393D9A"/>
    <w:rsid w:val="00394E45"/>
    <w:rsid w:val="00395238"/>
    <w:rsid w:val="00395B9A"/>
    <w:rsid w:val="003A0362"/>
    <w:rsid w:val="003A0E1F"/>
    <w:rsid w:val="003A1288"/>
    <w:rsid w:val="003A2672"/>
    <w:rsid w:val="003A2E9E"/>
    <w:rsid w:val="003A38E4"/>
    <w:rsid w:val="003A3D4E"/>
    <w:rsid w:val="003A3F19"/>
    <w:rsid w:val="003A432A"/>
    <w:rsid w:val="003A4BA4"/>
    <w:rsid w:val="003A52DB"/>
    <w:rsid w:val="003A5987"/>
    <w:rsid w:val="003A63CD"/>
    <w:rsid w:val="003A6C2E"/>
    <w:rsid w:val="003A6E2D"/>
    <w:rsid w:val="003A7143"/>
    <w:rsid w:val="003A72B5"/>
    <w:rsid w:val="003B0671"/>
    <w:rsid w:val="003B0FAD"/>
    <w:rsid w:val="003B167A"/>
    <w:rsid w:val="003B1DC4"/>
    <w:rsid w:val="003B1E2D"/>
    <w:rsid w:val="003B25F5"/>
    <w:rsid w:val="003B2939"/>
    <w:rsid w:val="003B2F39"/>
    <w:rsid w:val="003B342D"/>
    <w:rsid w:val="003B3FBF"/>
    <w:rsid w:val="003B49D8"/>
    <w:rsid w:val="003B51E2"/>
    <w:rsid w:val="003B56AF"/>
    <w:rsid w:val="003B58FE"/>
    <w:rsid w:val="003B5FED"/>
    <w:rsid w:val="003B6513"/>
    <w:rsid w:val="003B6999"/>
    <w:rsid w:val="003B6A5F"/>
    <w:rsid w:val="003B7696"/>
    <w:rsid w:val="003B7E67"/>
    <w:rsid w:val="003C021E"/>
    <w:rsid w:val="003C0A70"/>
    <w:rsid w:val="003C0B8B"/>
    <w:rsid w:val="003C0DD6"/>
    <w:rsid w:val="003C13D4"/>
    <w:rsid w:val="003C2A65"/>
    <w:rsid w:val="003C2CF7"/>
    <w:rsid w:val="003C3476"/>
    <w:rsid w:val="003C3C96"/>
    <w:rsid w:val="003C4141"/>
    <w:rsid w:val="003C5098"/>
    <w:rsid w:val="003C5618"/>
    <w:rsid w:val="003C5A2C"/>
    <w:rsid w:val="003C5C54"/>
    <w:rsid w:val="003C5CEA"/>
    <w:rsid w:val="003C63DC"/>
    <w:rsid w:val="003C6C96"/>
    <w:rsid w:val="003C6DC1"/>
    <w:rsid w:val="003C704E"/>
    <w:rsid w:val="003C7351"/>
    <w:rsid w:val="003C7642"/>
    <w:rsid w:val="003C7779"/>
    <w:rsid w:val="003C7A87"/>
    <w:rsid w:val="003C7BA6"/>
    <w:rsid w:val="003C7C41"/>
    <w:rsid w:val="003D00E4"/>
    <w:rsid w:val="003D027A"/>
    <w:rsid w:val="003D04A9"/>
    <w:rsid w:val="003D19A5"/>
    <w:rsid w:val="003D1D37"/>
    <w:rsid w:val="003D1E8D"/>
    <w:rsid w:val="003D2000"/>
    <w:rsid w:val="003D209D"/>
    <w:rsid w:val="003D3486"/>
    <w:rsid w:val="003D366A"/>
    <w:rsid w:val="003D3F95"/>
    <w:rsid w:val="003D3FCE"/>
    <w:rsid w:val="003D428F"/>
    <w:rsid w:val="003D42AA"/>
    <w:rsid w:val="003D4615"/>
    <w:rsid w:val="003D4CBC"/>
    <w:rsid w:val="003D4D62"/>
    <w:rsid w:val="003D6019"/>
    <w:rsid w:val="003D60FD"/>
    <w:rsid w:val="003D64B2"/>
    <w:rsid w:val="003D684E"/>
    <w:rsid w:val="003D685F"/>
    <w:rsid w:val="003D6BA4"/>
    <w:rsid w:val="003D6DA2"/>
    <w:rsid w:val="003D7E7D"/>
    <w:rsid w:val="003E0E82"/>
    <w:rsid w:val="003E27A5"/>
    <w:rsid w:val="003E34EF"/>
    <w:rsid w:val="003E3760"/>
    <w:rsid w:val="003E398A"/>
    <w:rsid w:val="003E4BEA"/>
    <w:rsid w:val="003E57A2"/>
    <w:rsid w:val="003E6286"/>
    <w:rsid w:val="003E66EC"/>
    <w:rsid w:val="003E6790"/>
    <w:rsid w:val="003E6D1E"/>
    <w:rsid w:val="003E748E"/>
    <w:rsid w:val="003E7A88"/>
    <w:rsid w:val="003F020C"/>
    <w:rsid w:val="003F0243"/>
    <w:rsid w:val="003F0385"/>
    <w:rsid w:val="003F16D9"/>
    <w:rsid w:val="003F20FE"/>
    <w:rsid w:val="003F4673"/>
    <w:rsid w:val="003F4E3C"/>
    <w:rsid w:val="003F4E61"/>
    <w:rsid w:val="003F511F"/>
    <w:rsid w:val="003F51AD"/>
    <w:rsid w:val="003F6AF4"/>
    <w:rsid w:val="003F6C30"/>
    <w:rsid w:val="003F6D1C"/>
    <w:rsid w:val="003F6E86"/>
    <w:rsid w:val="003F6F6B"/>
    <w:rsid w:val="00400ED2"/>
    <w:rsid w:val="00401665"/>
    <w:rsid w:val="004019D5"/>
    <w:rsid w:val="00401B97"/>
    <w:rsid w:val="00401C1C"/>
    <w:rsid w:val="00402509"/>
    <w:rsid w:val="004026A6"/>
    <w:rsid w:val="00402C25"/>
    <w:rsid w:val="00403B13"/>
    <w:rsid w:val="00404383"/>
    <w:rsid w:val="004059A2"/>
    <w:rsid w:val="0040662F"/>
    <w:rsid w:val="004069FF"/>
    <w:rsid w:val="004103FC"/>
    <w:rsid w:val="00411054"/>
    <w:rsid w:val="004116AD"/>
    <w:rsid w:val="00411900"/>
    <w:rsid w:val="00412D51"/>
    <w:rsid w:val="0041343C"/>
    <w:rsid w:val="0041551C"/>
    <w:rsid w:val="004159C3"/>
    <w:rsid w:val="00415B21"/>
    <w:rsid w:val="00415DB0"/>
    <w:rsid w:val="00415F22"/>
    <w:rsid w:val="00417136"/>
    <w:rsid w:val="00417BD8"/>
    <w:rsid w:val="00417CA3"/>
    <w:rsid w:val="00417F0A"/>
    <w:rsid w:val="0042014A"/>
    <w:rsid w:val="00420835"/>
    <w:rsid w:val="004208B1"/>
    <w:rsid w:val="00420964"/>
    <w:rsid w:val="00420B92"/>
    <w:rsid w:val="00420F50"/>
    <w:rsid w:val="00421B24"/>
    <w:rsid w:val="00421D2D"/>
    <w:rsid w:val="004227C7"/>
    <w:rsid w:val="00423673"/>
    <w:rsid w:val="00423AE0"/>
    <w:rsid w:val="00423EF1"/>
    <w:rsid w:val="00424A16"/>
    <w:rsid w:val="00425802"/>
    <w:rsid w:val="00425FBA"/>
    <w:rsid w:val="00426219"/>
    <w:rsid w:val="00430660"/>
    <w:rsid w:val="004310A7"/>
    <w:rsid w:val="00431D47"/>
    <w:rsid w:val="0043215F"/>
    <w:rsid w:val="0043291D"/>
    <w:rsid w:val="00432C24"/>
    <w:rsid w:val="00432F83"/>
    <w:rsid w:val="004332A4"/>
    <w:rsid w:val="00433741"/>
    <w:rsid w:val="00433844"/>
    <w:rsid w:val="004339C8"/>
    <w:rsid w:val="0043420C"/>
    <w:rsid w:val="004349B8"/>
    <w:rsid w:val="00434A56"/>
    <w:rsid w:val="004356FA"/>
    <w:rsid w:val="00436094"/>
    <w:rsid w:val="00436846"/>
    <w:rsid w:val="00436C43"/>
    <w:rsid w:val="00437CA0"/>
    <w:rsid w:val="00437CF0"/>
    <w:rsid w:val="00440137"/>
    <w:rsid w:val="0044063D"/>
    <w:rsid w:val="00440C19"/>
    <w:rsid w:val="004429DA"/>
    <w:rsid w:val="0044397C"/>
    <w:rsid w:val="00443D70"/>
    <w:rsid w:val="004440D4"/>
    <w:rsid w:val="004452FA"/>
    <w:rsid w:val="00445C97"/>
    <w:rsid w:val="00446837"/>
    <w:rsid w:val="00446861"/>
    <w:rsid w:val="00446D6E"/>
    <w:rsid w:val="00447401"/>
    <w:rsid w:val="0044752D"/>
    <w:rsid w:val="00450CB0"/>
    <w:rsid w:val="00451CF5"/>
    <w:rsid w:val="00451D68"/>
    <w:rsid w:val="004522C8"/>
    <w:rsid w:val="0045245F"/>
    <w:rsid w:val="00452C99"/>
    <w:rsid w:val="00453830"/>
    <w:rsid w:val="00453F12"/>
    <w:rsid w:val="0045420D"/>
    <w:rsid w:val="00454D2A"/>
    <w:rsid w:val="00454EBD"/>
    <w:rsid w:val="00455C2E"/>
    <w:rsid w:val="00456468"/>
    <w:rsid w:val="004572CE"/>
    <w:rsid w:val="004578AA"/>
    <w:rsid w:val="00457AE3"/>
    <w:rsid w:val="00457CE6"/>
    <w:rsid w:val="004607F5"/>
    <w:rsid w:val="00460C65"/>
    <w:rsid w:val="00460EA3"/>
    <w:rsid w:val="00461457"/>
    <w:rsid w:val="004617EB"/>
    <w:rsid w:val="00461958"/>
    <w:rsid w:val="00461A3A"/>
    <w:rsid w:val="00461F90"/>
    <w:rsid w:val="004622A7"/>
    <w:rsid w:val="004623F9"/>
    <w:rsid w:val="0046332F"/>
    <w:rsid w:val="00465278"/>
    <w:rsid w:val="0046562A"/>
    <w:rsid w:val="00465E2E"/>
    <w:rsid w:val="00466E2E"/>
    <w:rsid w:val="0046758B"/>
    <w:rsid w:val="00470EDB"/>
    <w:rsid w:val="0047181A"/>
    <w:rsid w:val="00471B29"/>
    <w:rsid w:val="00472103"/>
    <w:rsid w:val="0047231B"/>
    <w:rsid w:val="00473BE9"/>
    <w:rsid w:val="00473D84"/>
    <w:rsid w:val="00474D00"/>
    <w:rsid w:val="0047527C"/>
    <w:rsid w:val="00475CD6"/>
    <w:rsid w:val="00475F92"/>
    <w:rsid w:val="0047606F"/>
    <w:rsid w:val="004762CA"/>
    <w:rsid w:val="0047632C"/>
    <w:rsid w:val="00476452"/>
    <w:rsid w:val="0047683C"/>
    <w:rsid w:val="004770F3"/>
    <w:rsid w:val="00477B12"/>
    <w:rsid w:val="00477BA8"/>
    <w:rsid w:val="00480065"/>
    <w:rsid w:val="004813A1"/>
    <w:rsid w:val="0048182C"/>
    <w:rsid w:val="00482A29"/>
    <w:rsid w:val="00484176"/>
    <w:rsid w:val="004847E4"/>
    <w:rsid w:val="0048626D"/>
    <w:rsid w:val="00486989"/>
    <w:rsid w:val="00486B25"/>
    <w:rsid w:val="00487787"/>
    <w:rsid w:val="00487B58"/>
    <w:rsid w:val="004905A1"/>
    <w:rsid w:val="0049132C"/>
    <w:rsid w:val="0049305A"/>
    <w:rsid w:val="00493190"/>
    <w:rsid w:val="00493ECB"/>
    <w:rsid w:val="0049423F"/>
    <w:rsid w:val="00494B1C"/>
    <w:rsid w:val="00494D25"/>
    <w:rsid w:val="00495967"/>
    <w:rsid w:val="0049612F"/>
    <w:rsid w:val="004965F6"/>
    <w:rsid w:val="00496844"/>
    <w:rsid w:val="004973F8"/>
    <w:rsid w:val="004A0869"/>
    <w:rsid w:val="004A2796"/>
    <w:rsid w:val="004A2DCB"/>
    <w:rsid w:val="004A2FBE"/>
    <w:rsid w:val="004A3949"/>
    <w:rsid w:val="004A3E33"/>
    <w:rsid w:val="004A4051"/>
    <w:rsid w:val="004A4620"/>
    <w:rsid w:val="004A4DE6"/>
    <w:rsid w:val="004A5332"/>
    <w:rsid w:val="004A578D"/>
    <w:rsid w:val="004A581E"/>
    <w:rsid w:val="004A680D"/>
    <w:rsid w:val="004A6A5B"/>
    <w:rsid w:val="004A70EC"/>
    <w:rsid w:val="004A7A88"/>
    <w:rsid w:val="004B05F8"/>
    <w:rsid w:val="004B05F9"/>
    <w:rsid w:val="004B0A92"/>
    <w:rsid w:val="004B0FB3"/>
    <w:rsid w:val="004B4861"/>
    <w:rsid w:val="004B4C35"/>
    <w:rsid w:val="004B6897"/>
    <w:rsid w:val="004B6C2F"/>
    <w:rsid w:val="004B6DA8"/>
    <w:rsid w:val="004B70E1"/>
    <w:rsid w:val="004C0764"/>
    <w:rsid w:val="004C0CA6"/>
    <w:rsid w:val="004C0F7B"/>
    <w:rsid w:val="004C16F2"/>
    <w:rsid w:val="004C2112"/>
    <w:rsid w:val="004C3264"/>
    <w:rsid w:val="004C33CD"/>
    <w:rsid w:val="004C3E58"/>
    <w:rsid w:val="004C3E72"/>
    <w:rsid w:val="004C485B"/>
    <w:rsid w:val="004C6B0E"/>
    <w:rsid w:val="004C6BCE"/>
    <w:rsid w:val="004D01A9"/>
    <w:rsid w:val="004D0770"/>
    <w:rsid w:val="004D0B65"/>
    <w:rsid w:val="004D150B"/>
    <w:rsid w:val="004D1D94"/>
    <w:rsid w:val="004D22AB"/>
    <w:rsid w:val="004D260A"/>
    <w:rsid w:val="004D3549"/>
    <w:rsid w:val="004D3978"/>
    <w:rsid w:val="004D3C60"/>
    <w:rsid w:val="004D522D"/>
    <w:rsid w:val="004D5336"/>
    <w:rsid w:val="004D5397"/>
    <w:rsid w:val="004D5AF1"/>
    <w:rsid w:val="004D6212"/>
    <w:rsid w:val="004E0187"/>
    <w:rsid w:val="004E0481"/>
    <w:rsid w:val="004E0C01"/>
    <w:rsid w:val="004E35EA"/>
    <w:rsid w:val="004E3B56"/>
    <w:rsid w:val="004E4399"/>
    <w:rsid w:val="004E44B9"/>
    <w:rsid w:val="004E4907"/>
    <w:rsid w:val="004E4FC4"/>
    <w:rsid w:val="004E5813"/>
    <w:rsid w:val="004E5A1B"/>
    <w:rsid w:val="004E5FE3"/>
    <w:rsid w:val="004E677A"/>
    <w:rsid w:val="004E7B8D"/>
    <w:rsid w:val="004F0456"/>
    <w:rsid w:val="004F05FC"/>
    <w:rsid w:val="004F0DB6"/>
    <w:rsid w:val="004F134C"/>
    <w:rsid w:val="004F13D8"/>
    <w:rsid w:val="004F25CA"/>
    <w:rsid w:val="004F27FA"/>
    <w:rsid w:val="004F2DFC"/>
    <w:rsid w:val="004F3022"/>
    <w:rsid w:val="004F3744"/>
    <w:rsid w:val="004F3CAA"/>
    <w:rsid w:val="004F3FE2"/>
    <w:rsid w:val="004F4658"/>
    <w:rsid w:val="004F4837"/>
    <w:rsid w:val="004F533D"/>
    <w:rsid w:val="004F57F1"/>
    <w:rsid w:val="004F595D"/>
    <w:rsid w:val="004F63C8"/>
    <w:rsid w:val="004F6676"/>
    <w:rsid w:val="004F687A"/>
    <w:rsid w:val="004F7A44"/>
    <w:rsid w:val="004F7B71"/>
    <w:rsid w:val="004F7EA5"/>
    <w:rsid w:val="005002CA"/>
    <w:rsid w:val="00500F2F"/>
    <w:rsid w:val="00500F57"/>
    <w:rsid w:val="005011AD"/>
    <w:rsid w:val="00501561"/>
    <w:rsid w:val="005018A1"/>
    <w:rsid w:val="005019CC"/>
    <w:rsid w:val="00501B24"/>
    <w:rsid w:val="00501BBE"/>
    <w:rsid w:val="005025AA"/>
    <w:rsid w:val="00502857"/>
    <w:rsid w:val="00502D44"/>
    <w:rsid w:val="00502D79"/>
    <w:rsid w:val="0050351C"/>
    <w:rsid w:val="00503711"/>
    <w:rsid w:val="005039AC"/>
    <w:rsid w:val="00503E76"/>
    <w:rsid w:val="00503FC3"/>
    <w:rsid w:val="005042BD"/>
    <w:rsid w:val="005043D0"/>
    <w:rsid w:val="005048DD"/>
    <w:rsid w:val="00506158"/>
    <w:rsid w:val="005068A6"/>
    <w:rsid w:val="005071AF"/>
    <w:rsid w:val="00507C37"/>
    <w:rsid w:val="00507CDC"/>
    <w:rsid w:val="00510267"/>
    <w:rsid w:val="005107D3"/>
    <w:rsid w:val="005108A6"/>
    <w:rsid w:val="005136BB"/>
    <w:rsid w:val="00513763"/>
    <w:rsid w:val="00513CE0"/>
    <w:rsid w:val="0051500F"/>
    <w:rsid w:val="00515768"/>
    <w:rsid w:val="0051583A"/>
    <w:rsid w:val="00515932"/>
    <w:rsid w:val="00515F81"/>
    <w:rsid w:val="0051600E"/>
    <w:rsid w:val="00516D83"/>
    <w:rsid w:val="005172B0"/>
    <w:rsid w:val="005200D1"/>
    <w:rsid w:val="00520307"/>
    <w:rsid w:val="005204CD"/>
    <w:rsid w:val="00520961"/>
    <w:rsid w:val="00520BF8"/>
    <w:rsid w:val="0052280B"/>
    <w:rsid w:val="00522DD3"/>
    <w:rsid w:val="00523392"/>
    <w:rsid w:val="005236B8"/>
    <w:rsid w:val="00524153"/>
    <w:rsid w:val="0052551B"/>
    <w:rsid w:val="00526111"/>
    <w:rsid w:val="005261A8"/>
    <w:rsid w:val="00526300"/>
    <w:rsid w:val="005269FE"/>
    <w:rsid w:val="0053089F"/>
    <w:rsid w:val="00530994"/>
    <w:rsid w:val="00530C37"/>
    <w:rsid w:val="00531548"/>
    <w:rsid w:val="0053166B"/>
    <w:rsid w:val="0053278F"/>
    <w:rsid w:val="00533690"/>
    <w:rsid w:val="0053537C"/>
    <w:rsid w:val="0053547B"/>
    <w:rsid w:val="00536520"/>
    <w:rsid w:val="00536941"/>
    <w:rsid w:val="0054008E"/>
    <w:rsid w:val="0054056A"/>
    <w:rsid w:val="005405A7"/>
    <w:rsid w:val="00540E6D"/>
    <w:rsid w:val="00540F03"/>
    <w:rsid w:val="00541015"/>
    <w:rsid w:val="00541308"/>
    <w:rsid w:val="005414BF"/>
    <w:rsid w:val="005415BE"/>
    <w:rsid w:val="005417A3"/>
    <w:rsid w:val="00541B98"/>
    <w:rsid w:val="00541CEB"/>
    <w:rsid w:val="00542115"/>
    <w:rsid w:val="005421C6"/>
    <w:rsid w:val="00542367"/>
    <w:rsid w:val="00542752"/>
    <w:rsid w:val="005429D3"/>
    <w:rsid w:val="00542C0A"/>
    <w:rsid w:val="00542E8A"/>
    <w:rsid w:val="00543138"/>
    <w:rsid w:val="00543635"/>
    <w:rsid w:val="0054476B"/>
    <w:rsid w:val="0054538B"/>
    <w:rsid w:val="00545A97"/>
    <w:rsid w:val="00546485"/>
    <w:rsid w:val="00550540"/>
    <w:rsid w:val="00550D69"/>
    <w:rsid w:val="005513D5"/>
    <w:rsid w:val="005528A3"/>
    <w:rsid w:val="00553845"/>
    <w:rsid w:val="00554A4F"/>
    <w:rsid w:val="00554ECE"/>
    <w:rsid w:val="00555F83"/>
    <w:rsid w:val="005569C5"/>
    <w:rsid w:val="00556A48"/>
    <w:rsid w:val="00556C73"/>
    <w:rsid w:val="00556F78"/>
    <w:rsid w:val="005570AC"/>
    <w:rsid w:val="00557F51"/>
    <w:rsid w:val="005600DE"/>
    <w:rsid w:val="00560C48"/>
    <w:rsid w:val="00561438"/>
    <w:rsid w:val="00563125"/>
    <w:rsid w:val="005634B3"/>
    <w:rsid w:val="00563998"/>
    <w:rsid w:val="00563C67"/>
    <w:rsid w:val="00564412"/>
    <w:rsid w:val="00564F5F"/>
    <w:rsid w:val="00565A11"/>
    <w:rsid w:val="00565ACC"/>
    <w:rsid w:val="005666B9"/>
    <w:rsid w:val="00566ACF"/>
    <w:rsid w:val="00566FFB"/>
    <w:rsid w:val="00570559"/>
    <w:rsid w:val="00571975"/>
    <w:rsid w:val="00572460"/>
    <w:rsid w:val="00572A79"/>
    <w:rsid w:val="005738DA"/>
    <w:rsid w:val="00573AFB"/>
    <w:rsid w:val="00574A5B"/>
    <w:rsid w:val="0057557B"/>
    <w:rsid w:val="005758CF"/>
    <w:rsid w:val="00576B75"/>
    <w:rsid w:val="00577E23"/>
    <w:rsid w:val="0058096B"/>
    <w:rsid w:val="00580AE7"/>
    <w:rsid w:val="00580C44"/>
    <w:rsid w:val="00580C9E"/>
    <w:rsid w:val="00580DAA"/>
    <w:rsid w:val="00582919"/>
    <w:rsid w:val="00582DDC"/>
    <w:rsid w:val="00582FF7"/>
    <w:rsid w:val="005839AA"/>
    <w:rsid w:val="00583A69"/>
    <w:rsid w:val="00583EE5"/>
    <w:rsid w:val="005849F7"/>
    <w:rsid w:val="005859E7"/>
    <w:rsid w:val="00585C1A"/>
    <w:rsid w:val="00585DD7"/>
    <w:rsid w:val="00586134"/>
    <w:rsid w:val="0058726E"/>
    <w:rsid w:val="00587427"/>
    <w:rsid w:val="005875B6"/>
    <w:rsid w:val="0059057A"/>
    <w:rsid w:val="005905B7"/>
    <w:rsid w:val="005908BC"/>
    <w:rsid w:val="00590DB8"/>
    <w:rsid w:val="0059183E"/>
    <w:rsid w:val="005918B5"/>
    <w:rsid w:val="00592317"/>
    <w:rsid w:val="005929D8"/>
    <w:rsid w:val="00593FB8"/>
    <w:rsid w:val="005943B5"/>
    <w:rsid w:val="00595918"/>
    <w:rsid w:val="00595BDB"/>
    <w:rsid w:val="00596BB0"/>
    <w:rsid w:val="00596DC5"/>
    <w:rsid w:val="005A002E"/>
    <w:rsid w:val="005A3094"/>
    <w:rsid w:val="005A30F9"/>
    <w:rsid w:val="005A3412"/>
    <w:rsid w:val="005A35DA"/>
    <w:rsid w:val="005A3BAA"/>
    <w:rsid w:val="005A4560"/>
    <w:rsid w:val="005A53EB"/>
    <w:rsid w:val="005A589F"/>
    <w:rsid w:val="005A591C"/>
    <w:rsid w:val="005A6195"/>
    <w:rsid w:val="005A67DA"/>
    <w:rsid w:val="005A7BF0"/>
    <w:rsid w:val="005B0000"/>
    <w:rsid w:val="005B03F4"/>
    <w:rsid w:val="005B08B4"/>
    <w:rsid w:val="005B1134"/>
    <w:rsid w:val="005B12D8"/>
    <w:rsid w:val="005B1307"/>
    <w:rsid w:val="005B16B6"/>
    <w:rsid w:val="005B1F5F"/>
    <w:rsid w:val="005B2755"/>
    <w:rsid w:val="005B2C39"/>
    <w:rsid w:val="005B325E"/>
    <w:rsid w:val="005B3803"/>
    <w:rsid w:val="005B38D3"/>
    <w:rsid w:val="005B40BC"/>
    <w:rsid w:val="005B4270"/>
    <w:rsid w:val="005B52A9"/>
    <w:rsid w:val="005B583F"/>
    <w:rsid w:val="005B5896"/>
    <w:rsid w:val="005B5EDB"/>
    <w:rsid w:val="005B6691"/>
    <w:rsid w:val="005B6763"/>
    <w:rsid w:val="005B6DD7"/>
    <w:rsid w:val="005B7777"/>
    <w:rsid w:val="005C03BA"/>
    <w:rsid w:val="005C1C5E"/>
    <w:rsid w:val="005C2749"/>
    <w:rsid w:val="005C2AE6"/>
    <w:rsid w:val="005C2E62"/>
    <w:rsid w:val="005C38F2"/>
    <w:rsid w:val="005C4EEC"/>
    <w:rsid w:val="005C515A"/>
    <w:rsid w:val="005C52F2"/>
    <w:rsid w:val="005C530B"/>
    <w:rsid w:val="005C59E4"/>
    <w:rsid w:val="005C6D08"/>
    <w:rsid w:val="005C72BC"/>
    <w:rsid w:val="005C7B2B"/>
    <w:rsid w:val="005D273E"/>
    <w:rsid w:val="005D2769"/>
    <w:rsid w:val="005D37E3"/>
    <w:rsid w:val="005D3F5F"/>
    <w:rsid w:val="005D4539"/>
    <w:rsid w:val="005D4606"/>
    <w:rsid w:val="005D4612"/>
    <w:rsid w:val="005D542B"/>
    <w:rsid w:val="005D5D58"/>
    <w:rsid w:val="005D5EE5"/>
    <w:rsid w:val="005D641B"/>
    <w:rsid w:val="005D656C"/>
    <w:rsid w:val="005D6CD5"/>
    <w:rsid w:val="005E0DB4"/>
    <w:rsid w:val="005E0FF9"/>
    <w:rsid w:val="005E2072"/>
    <w:rsid w:val="005E3B06"/>
    <w:rsid w:val="005E3ECF"/>
    <w:rsid w:val="005E42B0"/>
    <w:rsid w:val="005E51BD"/>
    <w:rsid w:val="005E60FC"/>
    <w:rsid w:val="005E6AAA"/>
    <w:rsid w:val="005E6D5E"/>
    <w:rsid w:val="005E7A92"/>
    <w:rsid w:val="005F029C"/>
    <w:rsid w:val="005F02F7"/>
    <w:rsid w:val="005F03F2"/>
    <w:rsid w:val="005F08DA"/>
    <w:rsid w:val="005F0B40"/>
    <w:rsid w:val="005F170F"/>
    <w:rsid w:val="005F2302"/>
    <w:rsid w:val="005F2A32"/>
    <w:rsid w:val="005F335C"/>
    <w:rsid w:val="005F4174"/>
    <w:rsid w:val="005F430C"/>
    <w:rsid w:val="005F44B6"/>
    <w:rsid w:val="005F472B"/>
    <w:rsid w:val="005F4A11"/>
    <w:rsid w:val="005F4ACC"/>
    <w:rsid w:val="005F5241"/>
    <w:rsid w:val="005F52F0"/>
    <w:rsid w:val="005F57A2"/>
    <w:rsid w:val="005F62AF"/>
    <w:rsid w:val="005F6678"/>
    <w:rsid w:val="00600858"/>
    <w:rsid w:val="00600C22"/>
    <w:rsid w:val="00600F45"/>
    <w:rsid w:val="006011DF"/>
    <w:rsid w:val="006017E9"/>
    <w:rsid w:val="00601BCF"/>
    <w:rsid w:val="00601D23"/>
    <w:rsid w:val="00601E76"/>
    <w:rsid w:val="0060362F"/>
    <w:rsid w:val="00603672"/>
    <w:rsid w:val="0060410D"/>
    <w:rsid w:val="006056BC"/>
    <w:rsid w:val="00605E6B"/>
    <w:rsid w:val="00606356"/>
    <w:rsid w:val="0060649D"/>
    <w:rsid w:val="00606DD7"/>
    <w:rsid w:val="006079E2"/>
    <w:rsid w:val="00607E7C"/>
    <w:rsid w:val="00610252"/>
    <w:rsid w:val="006103C0"/>
    <w:rsid w:val="006105D8"/>
    <w:rsid w:val="006109B2"/>
    <w:rsid w:val="00611223"/>
    <w:rsid w:val="006114C0"/>
    <w:rsid w:val="00612CA5"/>
    <w:rsid w:val="006134A0"/>
    <w:rsid w:val="006134AD"/>
    <w:rsid w:val="006148B9"/>
    <w:rsid w:val="00614E39"/>
    <w:rsid w:val="0061501E"/>
    <w:rsid w:val="006150E5"/>
    <w:rsid w:val="00616027"/>
    <w:rsid w:val="0061607C"/>
    <w:rsid w:val="006163DF"/>
    <w:rsid w:val="00616B0A"/>
    <w:rsid w:val="00616E24"/>
    <w:rsid w:val="00617EE0"/>
    <w:rsid w:val="00620240"/>
    <w:rsid w:val="006210B3"/>
    <w:rsid w:val="00621ACC"/>
    <w:rsid w:val="0062230A"/>
    <w:rsid w:val="00622E7C"/>
    <w:rsid w:val="0062328C"/>
    <w:rsid w:val="00623825"/>
    <w:rsid w:val="006239F6"/>
    <w:rsid w:val="006242A9"/>
    <w:rsid w:val="00624C58"/>
    <w:rsid w:val="00626374"/>
    <w:rsid w:val="00627FBA"/>
    <w:rsid w:val="00630033"/>
    <w:rsid w:val="00630257"/>
    <w:rsid w:val="006303BA"/>
    <w:rsid w:val="0063078A"/>
    <w:rsid w:val="00630D6F"/>
    <w:rsid w:val="00630EC6"/>
    <w:rsid w:val="006311FF"/>
    <w:rsid w:val="00631394"/>
    <w:rsid w:val="00631962"/>
    <w:rsid w:val="00632379"/>
    <w:rsid w:val="006324A8"/>
    <w:rsid w:val="00632772"/>
    <w:rsid w:val="0063289E"/>
    <w:rsid w:val="0063351A"/>
    <w:rsid w:val="0063366D"/>
    <w:rsid w:val="006338EF"/>
    <w:rsid w:val="0063428E"/>
    <w:rsid w:val="0063513C"/>
    <w:rsid w:val="0063551B"/>
    <w:rsid w:val="00635A0D"/>
    <w:rsid w:val="00635EC7"/>
    <w:rsid w:val="00635F41"/>
    <w:rsid w:val="00636369"/>
    <w:rsid w:val="00636752"/>
    <w:rsid w:val="00636755"/>
    <w:rsid w:val="00637AEF"/>
    <w:rsid w:val="00640197"/>
    <w:rsid w:val="006403B0"/>
    <w:rsid w:val="006407AF"/>
    <w:rsid w:val="00640B29"/>
    <w:rsid w:val="006416DE"/>
    <w:rsid w:val="00641CC6"/>
    <w:rsid w:val="00641F07"/>
    <w:rsid w:val="00643141"/>
    <w:rsid w:val="006431A2"/>
    <w:rsid w:val="006435C5"/>
    <w:rsid w:val="00643C54"/>
    <w:rsid w:val="00644B18"/>
    <w:rsid w:val="00646B8E"/>
    <w:rsid w:val="00647924"/>
    <w:rsid w:val="00650250"/>
    <w:rsid w:val="0065060D"/>
    <w:rsid w:val="00650D9D"/>
    <w:rsid w:val="00652000"/>
    <w:rsid w:val="00652102"/>
    <w:rsid w:val="00653B76"/>
    <w:rsid w:val="006547BF"/>
    <w:rsid w:val="00654A39"/>
    <w:rsid w:val="00654E71"/>
    <w:rsid w:val="006557F9"/>
    <w:rsid w:val="0065590C"/>
    <w:rsid w:val="00656B49"/>
    <w:rsid w:val="00656F30"/>
    <w:rsid w:val="00661309"/>
    <w:rsid w:val="00661A9E"/>
    <w:rsid w:val="006629AD"/>
    <w:rsid w:val="00662DEE"/>
    <w:rsid w:val="00662ECB"/>
    <w:rsid w:val="00663194"/>
    <w:rsid w:val="006638AB"/>
    <w:rsid w:val="00663905"/>
    <w:rsid w:val="00663997"/>
    <w:rsid w:val="00663B1F"/>
    <w:rsid w:val="00663BEC"/>
    <w:rsid w:val="00664528"/>
    <w:rsid w:val="00664DDA"/>
    <w:rsid w:val="00665DDE"/>
    <w:rsid w:val="00665E96"/>
    <w:rsid w:val="00666254"/>
    <w:rsid w:val="00666E23"/>
    <w:rsid w:val="00666FB8"/>
    <w:rsid w:val="00666FC4"/>
    <w:rsid w:val="00667090"/>
    <w:rsid w:val="006673F9"/>
    <w:rsid w:val="00667568"/>
    <w:rsid w:val="00667C6E"/>
    <w:rsid w:val="00667E31"/>
    <w:rsid w:val="006700B7"/>
    <w:rsid w:val="0067053E"/>
    <w:rsid w:val="006706F6"/>
    <w:rsid w:val="00670753"/>
    <w:rsid w:val="006707D7"/>
    <w:rsid w:val="00670D75"/>
    <w:rsid w:val="00670DDD"/>
    <w:rsid w:val="0067120F"/>
    <w:rsid w:val="00671595"/>
    <w:rsid w:val="0067169C"/>
    <w:rsid w:val="00671CC4"/>
    <w:rsid w:val="00673718"/>
    <w:rsid w:val="0067438C"/>
    <w:rsid w:val="00674DA3"/>
    <w:rsid w:val="00674DED"/>
    <w:rsid w:val="00674EF2"/>
    <w:rsid w:val="00674F78"/>
    <w:rsid w:val="00675744"/>
    <w:rsid w:val="00675EBE"/>
    <w:rsid w:val="00677196"/>
    <w:rsid w:val="006775EE"/>
    <w:rsid w:val="006777FC"/>
    <w:rsid w:val="00677929"/>
    <w:rsid w:val="00677E8E"/>
    <w:rsid w:val="00677FE3"/>
    <w:rsid w:val="00680D0A"/>
    <w:rsid w:val="00681194"/>
    <w:rsid w:val="006828C2"/>
    <w:rsid w:val="00683305"/>
    <w:rsid w:val="0068348D"/>
    <w:rsid w:val="006836BF"/>
    <w:rsid w:val="0068464C"/>
    <w:rsid w:val="00684837"/>
    <w:rsid w:val="006853A9"/>
    <w:rsid w:val="006857C5"/>
    <w:rsid w:val="00685D60"/>
    <w:rsid w:val="00685F7B"/>
    <w:rsid w:val="00686258"/>
    <w:rsid w:val="0068659D"/>
    <w:rsid w:val="006868FA"/>
    <w:rsid w:val="0068752F"/>
    <w:rsid w:val="006877D7"/>
    <w:rsid w:val="006879DC"/>
    <w:rsid w:val="00687B16"/>
    <w:rsid w:val="0069057A"/>
    <w:rsid w:val="00690F77"/>
    <w:rsid w:val="00691266"/>
    <w:rsid w:val="006913C8"/>
    <w:rsid w:val="00691E81"/>
    <w:rsid w:val="006926E8"/>
    <w:rsid w:val="00693109"/>
    <w:rsid w:val="006939DA"/>
    <w:rsid w:val="00693AC8"/>
    <w:rsid w:val="00693F86"/>
    <w:rsid w:val="0069548D"/>
    <w:rsid w:val="006956AC"/>
    <w:rsid w:val="0069666D"/>
    <w:rsid w:val="00697190"/>
    <w:rsid w:val="00697585"/>
    <w:rsid w:val="006975A1"/>
    <w:rsid w:val="006977FF"/>
    <w:rsid w:val="00697BE6"/>
    <w:rsid w:val="006A118B"/>
    <w:rsid w:val="006A182B"/>
    <w:rsid w:val="006A186E"/>
    <w:rsid w:val="006A1987"/>
    <w:rsid w:val="006A1D66"/>
    <w:rsid w:val="006A20AC"/>
    <w:rsid w:val="006A30E3"/>
    <w:rsid w:val="006A31C8"/>
    <w:rsid w:val="006A42FF"/>
    <w:rsid w:val="006A4951"/>
    <w:rsid w:val="006A5233"/>
    <w:rsid w:val="006A5B1B"/>
    <w:rsid w:val="006A5F14"/>
    <w:rsid w:val="006B03B2"/>
    <w:rsid w:val="006B0480"/>
    <w:rsid w:val="006B07FE"/>
    <w:rsid w:val="006B1214"/>
    <w:rsid w:val="006B14B4"/>
    <w:rsid w:val="006B1D9B"/>
    <w:rsid w:val="006B2376"/>
    <w:rsid w:val="006B362F"/>
    <w:rsid w:val="006B3999"/>
    <w:rsid w:val="006B3C2F"/>
    <w:rsid w:val="006B4138"/>
    <w:rsid w:val="006B4144"/>
    <w:rsid w:val="006B4840"/>
    <w:rsid w:val="006B4E29"/>
    <w:rsid w:val="006B502C"/>
    <w:rsid w:val="006B5065"/>
    <w:rsid w:val="006B5AF7"/>
    <w:rsid w:val="006B601C"/>
    <w:rsid w:val="006B65D6"/>
    <w:rsid w:val="006B682F"/>
    <w:rsid w:val="006B68F5"/>
    <w:rsid w:val="006C0DE1"/>
    <w:rsid w:val="006C0DF8"/>
    <w:rsid w:val="006C157B"/>
    <w:rsid w:val="006C2081"/>
    <w:rsid w:val="006C247F"/>
    <w:rsid w:val="006C2FA5"/>
    <w:rsid w:val="006C3CF4"/>
    <w:rsid w:val="006C4AA2"/>
    <w:rsid w:val="006C4C84"/>
    <w:rsid w:val="006C4D33"/>
    <w:rsid w:val="006C55D6"/>
    <w:rsid w:val="006D041E"/>
    <w:rsid w:val="006D117A"/>
    <w:rsid w:val="006D1EF7"/>
    <w:rsid w:val="006D269A"/>
    <w:rsid w:val="006D432E"/>
    <w:rsid w:val="006D439A"/>
    <w:rsid w:val="006D4B53"/>
    <w:rsid w:val="006D5BD6"/>
    <w:rsid w:val="006D5C20"/>
    <w:rsid w:val="006D5F36"/>
    <w:rsid w:val="006D680D"/>
    <w:rsid w:val="006D6E40"/>
    <w:rsid w:val="006D6E80"/>
    <w:rsid w:val="006D7357"/>
    <w:rsid w:val="006E008D"/>
    <w:rsid w:val="006E0EEA"/>
    <w:rsid w:val="006E3649"/>
    <w:rsid w:val="006E36DB"/>
    <w:rsid w:val="006E487B"/>
    <w:rsid w:val="006E5DCB"/>
    <w:rsid w:val="006E5FA5"/>
    <w:rsid w:val="006E78A4"/>
    <w:rsid w:val="006F035A"/>
    <w:rsid w:val="006F0F07"/>
    <w:rsid w:val="006F17AE"/>
    <w:rsid w:val="006F1952"/>
    <w:rsid w:val="006F273C"/>
    <w:rsid w:val="006F2FE4"/>
    <w:rsid w:val="006F3BB5"/>
    <w:rsid w:val="006F3CFF"/>
    <w:rsid w:val="006F6295"/>
    <w:rsid w:val="006F7522"/>
    <w:rsid w:val="006F79E9"/>
    <w:rsid w:val="006F7EE9"/>
    <w:rsid w:val="00700569"/>
    <w:rsid w:val="00700D10"/>
    <w:rsid w:val="00700D82"/>
    <w:rsid w:val="007019F9"/>
    <w:rsid w:val="00701CD7"/>
    <w:rsid w:val="00702299"/>
    <w:rsid w:val="00702E5F"/>
    <w:rsid w:val="007032B5"/>
    <w:rsid w:val="00703B80"/>
    <w:rsid w:val="00704C8E"/>
    <w:rsid w:val="007053FF"/>
    <w:rsid w:val="007056CA"/>
    <w:rsid w:val="007102B6"/>
    <w:rsid w:val="0071068B"/>
    <w:rsid w:val="00710AF9"/>
    <w:rsid w:val="00711147"/>
    <w:rsid w:val="00711154"/>
    <w:rsid w:val="00711173"/>
    <w:rsid w:val="0071133A"/>
    <w:rsid w:val="007116E5"/>
    <w:rsid w:val="00711A95"/>
    <w:rsid w:val="00713093"/>
    <w:rsid w:val="00713B6B"/>
    <w:rsid w:val="00713DF5"/>
    <w:rsid w:val="0071441D"/>
    <w:rsid w:val="007145D7"/>
    <w:rsid w:val="00716759"/>
    <w:rsid w:val="00716FEA"/>
    <w:rsid w:val="00717414"/>
    <w:rsid w:val="00717A76"/>
    <w:rsid w:val="00722186"/>
    <w:rsid w:val="00722DEC"/>
    <w:rsid w:val="0072311B"/>
    <w:rsid w:val="0072357E"/>
    <w:rsid w:val="0072432A"/>
    <w:rsid w:val="00725187"/>
    <w:rsid w:val="0072562A"/>
    <w:rsid w:val="0072567C"/>
    <w:rsid w:val="00725BDE"/>
    <w:rsid w:val="00725D7B"/>
    <w:rsid w:val="00727066"/>
    <w:rsid w:val="007273F2"/>
    <w:rsid w:val="00727F8F"/>
    <w:rsid w:val="007301B1"/>
    <w:rsid w:val="00730BBE"/>
    <w:rsid w:val="007316E8"/>
    <w:rsid w:val="00731C33"/>
    <w:rsid w:val="00732066"/>
    <w:rsid w:val="007321BC"/>
    <w:rsid w:val="0073451D"/>
    <w:rsid w:val="00736470"/>
    <w:rsid w:val="00736A13"/>
    <w:rsid w:val="00736E63"/>
    <w:rsid w:val="00736F40"/>
    <w:rsid w:val="0074006F"/>
    <w:rsid w:val="0074143D"/>
    <w:rsid w:val="00741C98"/>
    <w:rsid w:val="00742405"/>
    <w:rsid w:val="00743178"/>
    <w:rsid w:val="007446E5"/>
    <w:rsid w:val="0074485B"/>
    <w:rsid w:val="00744A17"/>
    <w:rsid w:val="007451D4"/>
    <w:rsid w:val="0074635A"/>
    <w:rsid w:val="007464DD"/>
    <w:rsid w:val="007465CF"/>
    <w:rsid w:val="007468DA"/>
    <w:rsid w:val="007473A7"/>
    <w:rsid w:val="00750201"/>
    <w:rsid w:val="00750DA4"/>
    <w:rsid w:val="00750DA8"/>
    <w:rsid w:val="00750FAA"/>
    <w:rsid w:val="00750FB3"/>
    <w:rsid w:val="00751013"/>
    <w:rsid w:val="00751A3F"/>
    <w:rsid w:val="00752DE7"/>
    <w:rsid w:val="00753375"/>
    <w:rsid w:val="0075344C"/>
    <w:rsid w:val="007534CA"/>
    <w:rsid w:val="007537AA"/>
    <w:rsid w:val="007538EB"/>
    <w:rsid w:val="0075412A"/>
    <w:rsid w:val="00754C49"/>
    <w:rsid w:val="007561BE"/>
    <w:rsid w:val="007563FD"/>
    <w:rsid w:val="00756527"/>
    <w:rsid w:val="007569EB"/>
    <w:rsid w:val="00757262"/>
    <w:rsid w:val="007572AF"/>
    <w:rsid w:val="007573AE"/>
    <w:rsid w:val="00757C88"/>
    <w:rsid w:val="00757DAB"/>
    <w:rsid w:val="00760248"/>
    <w:rsid w:val="00760D7A"/>
    <w:rsid w:val="00761D6B"/>
    <w:rsid w:val="00762025"/>
    <w:rsid w:val="007620CE"/>
    <w:rsid w:val="00762442"/>
    <w:rsid w:val="007626B6"/>
    <w:rsid w:val="00762723"/>
    <w:rsid w:val="007627E8"/>
    <w:rsid w:val="00763AC1"/>
    <w:rsid w:val="0076409C"/>
    <w:rsid w:val="00765103"/>
    <w:rsid w:val="00765CA9"/>
    <w:rsid w:val="00765E94"/>
    <w:rsid w:val="00766024"/>
    <w:rsid w:val="007665F5"/>
    <w:rsid w:val="00767657"/>
    <w:rsid w:val="00770580"/>
    <w:rsid w:val="007706D6"/>
    <w:rsid w:val="00771963"/>
    <w:rsid w:val="0077233C"/>
    <w:rsid w:val="00772C16"/>
    <w:rsid w:val="00773A09"/>
    <w:rsid w:val="00773D6D"/>
    <w:rsid w:val="007745FC"/>
    <w:rsid w:val="007748AA"/>
    <w:rsid w:val="00774D1A"/>
    <w:rsid w:val="00775330"/>
    <w:rsid w:val="007758FC"/>
    <w:rsid w:val="00775D65"/>
    <w:rsid w:val="00776749"/>
    <w:rsid w:val="00776B72"/>
    <w:rsid w:val="00780371"/>
    <w:rsid w:val="00780C9A"/>
    <w:rsid w:val="00781CFA"/>
    <w:rsid w:val="007822AE"/>
    <w:rsid w:val="00783109"/>
    <w:rsid w:val="007832A7"/>
    <w:rsid w:val="00783302"/>
    <w:rsid w:val="00784ADE"/>
    <w:rsid w:val="00784CAB"/>
    <w:rsid w:val="00785224"/>
    <w:rsid w:val="0078750E"/>
    <w:rsid w:val="00790991"/>
    <w:rsid w:val="00791C0F"/>
    <w:rsid w:val="0079210E"/>
    <w:rsid w:val="00792C33"/>
    <w:rsid w:val="00792C60"/>
    <w:rsid w:val="00793246"/>
    <w:rsid w:val="007940D7"/>
    <w:rsid w:val="00794309"/>
    <w:rsid w:val="00794BDF"/>
    <w:rsid w:val="00795E98"/>
    <w:rsid w:val="007966D0"/>
    <w:rsid w:val="00796924"/>
    <w:rsid w:val="007971AD"/>
    <w:rsid w:val="0079750E"/>
    <w:rsid w:val="007979AA"/>
    <w:rsid w:val="007A0615"/>
    <w:rsid w:val="007A08CA"/>
    <w:rsid w:val="007A1AA5"/>
    <w:rsid w:val="007A33F0"/>
    <w:rsid w:val="007A36D7"/>
    <w:rsid w:val="007A3E2B"/>
    <w:rsid w:val="007A4780"/>
    <w:rsid w:val="007A4CDE"/>
    <w:rsid w:val="007A51C7"/>
    <w:rsid w:val="007A52B9"/>
    <w:rsid w:val="007A5641"/>
    <w:rsid w:val="007A5936"/>
    <w:rsid w:val="007A5F58"/>
    <w:rsid w:val="007A6FCA"/>
    <w:rsid w:val="007B04CF"/>
    <w:rsid w:val="007B09A7"/>
    <w:rsid w:val="007B1164"/>
    <w:rsid w:val="007B126E"/>
    <w:rsid w:val="007B1991"/>
    <w:rsid w:val="007B2D8E"/>
    <w:rsid w:val="007B5C8C"/>
    <w:rsid w:val="007B646C"/>
    <w:rsid w:val="007B6AAA"/>
    <w:rsid w:val="007C022C"/>
    <w:rsid w:val="007C0289"/>
    <w:rsid w:val="007C07A9"/>
    <w:rsid w:val="007C0F9B"/>
    <w:rsid w:val="007C1283"/>
    <w:rsid w:val="007C2017"/>
    <w:rsid w:val="007C22DA"/>
    <w:rsid w:val="007C2646"/>
    <w:rsid w:val="007C33BC"/>
    <w:rsid w:val="007C3D1B"/>
    <w:rsid w:val="007C466F"/>
    <w:rsid w:val="007C5E2B"/>
    <w:rsid w:val="007C5E44"/>
    <w:rsid w:val="007C5F3E"/>
    <w:rsid w:val="007C5FC7"/>
    <w:rsid w:val="007C646A"/>
    <w:rsid w:val="007C6560"/>
    <w:rsid w:val="007C66A7"/>
    <w:rsid w:val="007C6AF3"/>
    <w:rsid w:val="007C6CEF"/>
    <w:rsid w:val="007C6FB1"/>
    <w:rsid w:val="007C72B6"/>
    <w:rsid w:val="007C791C"/>
    <w:rsid w:val="007D10BE"/>
    <w:rsid w:val="007D1145"/>
    <w:rsid w:val="007D11C9"/>
    <w:rsid w:val="007D1CC1"/>
    <w:rsid w:val="007D39B6"/>
    <w:rsid w:val="007D3CF7"/>
    <w:rsid w:val="007D43BC"/>
    <w:rsid w:val="007D44AC"/>
    <w:rsid w:val="007D4796"/>
    <w:rsid w:val="007D5F89"/>
    <w:rsid w:val="007D6D6C"/>
    <w:rsid w:val="007D7555"/>
    <w:rsid w:val="007E071E"/>
    <w:rsid w:val="007E0868"/>
    <w:rsid w:val="007E12BA"/>
    <w:rsid w:val="007E1314"/>
    <w:rsid w:val="007E1461"/>
    <w:rsid w:val="007E1DDA"/>
    <w:rsid w:val="007E2AF4"/>
    <w:rsid w:val="007E2C3E"/>
    <w:rsid w:val="007E3170"/>
    <w:rsid w:val="007E333E"/>
    <w:rsid w:val="007E3E9F"/>
    <w:rsid w:val="007E450B"/>
    <w:rsid w:val="007E49C8"/>
    <w:rsid w:val="007E4D80"/>
    <w:rsid w:val="007E5C68"/>
    <w:rsid w:val="007E5CA2"/>
    <w:rsid w:val="007F1486"/>
    <w:rsid w:val="007F1EAD"/>
    <w:rsid w:val="007F26C6"/>
    <w:rsid w:val="007F29D8"/>
    <w:rsid w:val="007F4050"/>
    <w:rsid w:val="007F463F"/>
    <w:rsid w:val="007F492D"/>
    <w:rsid w:val="007F4950"/>
    <w:rsid w:val="007F6228"/>
    <w:rsid w:val="007F629F"/>
    <w:rsid w:val="007F6B13"/>
    <w:rsid w:val="007F70E4"/>
    <w:rsid w:val="008000E1"/>
    <w:rsid w:val="00801819"/>
    <w:rsid w:val="00802E68"/>
    <w:rsid w:val="00803A91"/>
    <w:rsid w:val="00803ACE"/>
    <w:rsid w:val="00804577"/>
    <w:rsid w:val="00804B91"/>
    <w:rsid w:val="00805262"/>
    <w:rsid w:val="00805499"/>
    <w:rsid w:val="00805A0D"/>
    <w:rsid w:val="00805C49"/>
    <w:rsid w:val="00805E3A"/>
    <w:rsid w:val="008064B9"/>
    <w:rsid w:val="008067F7"/>
    <w:rsid w:val="008068EA"/>
    <w:rsid w:val="00807E79"/>
    <w:rsid w:val="00807E9B"/>
    <w:rsid w:val="008110CD"/>
    <w:rsid w:val="008110E0"/>
    <w:rsid w:val="008115D7"/>
    <w:rsid w:val="0081165C"/>
    <w:rsid w:val="008117E3"/>
    <w:rsid w:val="00811E1F"/>
    <w:rsid w:val="00811F7D"/>
    <w:rsid w:val="008139AE"/>
    <w:rsid w:val="00813A62"/>
    <w:rsid w:val="00813E5A"/>
    <w:rsid w:val="00813E6A"/>
    <w:rsid w:val="00814375"/>
    <w:rsid w:val="00814C2D"/>
    <w:rsid w:val="00814CF3"/>
    <w:rsid w:val="00815F93"/>
    <w:rsid w:val="00816340"/>
    <w:rsid w:val="00816B55"/>
    <w:rsid w:val="00816CCA"/>
    <w:rsid w:val="00816F71"/>
    <w:rsid w:val="0081703D"/>
    <w:rsid w:val="008219FF"/>
    <w:rsid w:val="00822593"/>
    <w:rsid w:val="008226D0"/>
    <w:rsid w:val="00822CC3"/>
    <w:rsid w:val="00822DD9"/>
    <w:rsid w:val="008236B6"/>
    <w:rsid w:val="00823E24"/>
    <w:rsid w:val="00824117"/>
    <w:rsid w:val="0082453F"/>
    <w:rsid w:val="00824B25"/>
    <w:rsid w:val="0082551A"/>
    <w:rsid w:val="008256A0"/>
    <w:rsid w:val="00825ADB"/>
    <w:rsid w:val="00825B25"/>
    <w:rsid w:val="00826862"/>
    <w:rsid w:val="00826C58"/>
    <w:rsid w:val="008270C5"/>
    <w:rsid w:val="00827FDD"/>
    <w:rsid w:val="00830147"/>
    <w:rsid w:val="0083027A"/>
    <w:rsid w:val="008304C7"/>
    <w:rsid w:val="0083078C"/>
    <w:rsid w:val="00833921"/>
    <w:rsid w:val="00834246"/>
    <w:rsid w:val="0083483F"/>
    <w:rsid w:val="00834B00"/>
    <w:rsid w:val="00834CA7"/>
    <w:rsid w:val="008351B0"/>
    <w:rsid w:val="008351DA"/>
    <w:rsid w:val="008351EF"/>
    <w:rsid w:val="0083560D"/>
    <w:rsid w:val="008357B9"/>
    <w:rsid w:val="00835B9C"/>
    <w:rsid w:val="00836086"/>
    <w:rsid w:val="0083614B"/>
    <w:rsid w:val="0083672F"/>
    <w:rsid w:val="00837E7A"/>
    <w:rsid w:val="00840025"/>
    <w:rsid w:val="008405F6"/>
    <w:rsid w:val="008412D8"/>
    <w:rsid w:val="0084293F"/>
    <w:rsid w:val="00843821"/>
    <w:rsid w:val="00843DA0"/>
    <w:rsid w:val="008442F1"/>
    <w:rsid w:val="008444DB"/>
    <w:rsid w:val="0084451E"/>
    <w:rsid w:val="008445B6"/>
    <w:rsid w:val="00844843"/>
    <w:rsid w:val="00844C79"/>
    <w:rsid w:val="00845060"/>
    <w:rsid w:val="00845A76"/>
    <w:rsid w:val="008463AF"/>
    <w:rsid w:val="008464AF"/>
    <w:rsid w:val="00847296"/>
    <w:rsid w:val="00847552"/>
    <w:rsid w:val="00847593"/>
    <w:rsid w:val="008507D0"/>
    <w:rsid w:val="00852908"/>
    <w:rsid w:val="00852C8E"/>
    <w:rsid w:val="008553B2"/>
    <w:rsid w:val="00855586"/>
    <w:rsid w:val="00856519"/>
    <w:rsid w:val="008572B8"/>
    <w:rsid w:val="00857811"/>
    <w:rsid w:val="00860E00"/>
    <w:rsid w:val="00860E5D"/>
    <w:rsid w:val="0086193F"/>
    <w:rsid w:val="00861ACD"/>
    <w:rsid w:val="008621DF"/>
    <w:rsid w:val="0086248A"/>
    <w:rsid w:val="00862571"/>
    <w:rsid w:val="00862665"/>
    <w:rsid w:val="00862AEA"/>
    <w:rsid w:val="00862B2C"/>
    <w:rsid w:val="008639C3"/>
    <w:rsid w:val="00863C1B"/>
    <w:rsid w:val="00866080"/>
    <w:rsid w:val="00866A16"/>
    <w:rsid w:val="00866AE9"/>
    <w:rsid w:val="008673E5"/>
    <w:rsid w:val="0086774F"/>
    <w:rsid w:val="008677FD"/>
    <w:rsid w:val="0086796B"/>
    <w:rsid w:val="00867D5B"/>
    <w:rsid w:val="00870F9A"/>
    <w:rsid w:val="008716B5"/>
    <w:rsid w:val="00871EF8"/>
    <w:rsid w:val="00872B36"/>
    <w:rsid w:val="00872F22"/>
    <w:rsid w:val="008735F5"/>
    <w:rsid w:val="00874379"/>
    <w:rsid w:val="0087465B"/>
    <w:rsid w:val="008746FB"/>
    <w:rsid w:val="00874A05"/>
    <w:rsid w:val="008762E1"/>
    <w:rsid w:val="0087673E"/>
    <w:rsid w:val="0087705A"/>
    <w:rsid w:val="0087734D"/>
    <w:rsid w:val="00877743"/>
    <w:rsid w:val="00877C0B"/>
    <w:rsid w:val="00880528"/>
    <w:rsid w:val="008805FD"/>
    <w:rsid w:val="008816D6"/>
    <w:rsid w:val="008817CF"/>
    <w:rsid w:val="0088301A"/>
    <w:rsid w:val="0088303C"/>
    <w:rsid w:val="008831D9"/>
    <w:rsid w:val="00883918"/>
    <w:rsid w:val="0088396B"/>
    <w:rsid w:val="008839A5"/>
    <w:rsid w:val="0088466D"/>
    <w:rsid w:val="00884756"/>
    <w:rsid w:val="00885B60"/>
    <w:rsid w:val="00885B8C"/>
    <w:rsid w:val="00885EB5"/>
    <w:rsid w:val="008861C9"/>
    <w:rsid w:val="00887AEF"/>
    <w:rsid w:val="00887DBA"/>
    <w:rsid w:val="00890608"/>
    <w:rsid w:val="00890BD0"/>
    <w:rsid w:val="0089110C"/>
    <w:rsid w:val="00891979"/>
    <w:rsid w:val="008922F0"/>
    <w:rsid w:val="008924A9"/>
    <w:rsid w:val="00892F2D"/>
    <w:rsid w:val="00893502"/>
    <w:rsid w:val="008937EB"/>
    <w:rsid w:val="00893BFC"/>
    <w:rsid w:val="00893F01"/>
    <w:rsid w:val="00893F12"/>
    <w:rsid w:val="00894A23"/>
    <w:rsid w:val="00894ADB"/>
    <w:rsid w:val="00894FB0"/>
    <w:rsid w:val="0089516F"/>
    <w:rsid w:val="00896615"/>
    <w:rsid w:val="00897AD4"/>
    <w:rsid w:val="00897F14"/>
    <w:rsid w:val="008A025B"/>
    <w:rsid w:val="008A0A80"/>
    <w:rsid w:val="008A0A8E"/>
    <w:rsid w:val="008A17DB"/>
    <w:rsid w:val="008A43A8"/>
    <w:rsid w:val="008A4858"/>
    <w:rsid w:val="008A69B4"/>
    <w:rsid w:val="008A6FA8"/>
    <w:rsid w:val="008A706B"/>
    <w:rsid w:val="008A7631"/>
    <w:rsid w:val="008B0494"/>
    <w:rsid w:val="008B0AD2"/>
    <w:rsid w:val="008B14FB"/>
    <w:rsid w:val="008B2022"/>
    <w:rsid w:val="008B2594"/>
    <w:rsid w:val="008B2CF8"/>
    <w:rsid w:val="008B3A2C"/>
    <w:rsid w:val="008B3BAF"/>
    <w:rsid w:val="008B4AB7"/>
    <w:rsid w:val="008B55E9"/>
    <w:rsid w:val="008B5CC9"/>
    <w:rsid w:val="008B63F0"/>
    <w:rsid w:val="008B69D1"/>
    <w:rsid w:val="008B7200"/>
    <w:rsid w:val="008B76D3"/>
    <w:rsid w:val="008C04E2"/>
    <w:rsid w:val="008C061F"/>
    <w:rsid w:val="008C09DF"/>
    <w:rsid w:val="008C09FA"/>
    <w:rsid w:val="008C0B73"/>
    <w:rsid w:val="008C2B0B"/>
    <w:rsid w:val="008C2CDC"/>
    <w:rsid w:val="008C33E2"/>
    <w:rsid w:val="008C3947"/>
    <w:rsid w:val="008C3B70"/>
    <w:rsid w:val="008C409D"/>
    <w:rsid w:val="008C5078"/>
    <w:rsid w:val="008C56FF"/>
    <w:rsid w:val="008C5788"/>
    <w:rsid w:val="008C6030"/>
    <w:rsid w:val="008C77CB"/>
    <w:rsid w:val="008D00D6"/>
    <w:rsid w:val="008D0FB4"/>
    <w:rsid w:val="008D12F6"/>
    <w:rsid w:val="008D2621"/>
    <w:rsid w:val="008D2F16"/>
    <w:rsid w:val="008D309F"/>
    <w:rsid w:val="008D3956"/>
    <w:rsid w:val="008D4CD6"/>
    <w:rsid w:val="008D4DF2"/>
    <w:rsid w:val="008D573F"/>
    <w:rsid w:val="008D7BA6"/>
    <w:rsid w:val="008D7D2A"/>
    <w:rsid w:val="008E105F"/>
    <w:rsid w:val="008E1C1A"/>
    <w:rsid w:val="008E2147"/>
    <w:rsid w:val="008E38BE"/>
    <w:rsid w:val="008E3DFD"/>
    <w:rsid w:val="008E45F7"/>
    <w:rsid w:val="008E4645"/>
    <w:rsid w:val="008E46B9"/>
    <w:rsid w:val="008E4F26"/>
    <w:rsid w:val="008E553A"/>
    <w:rsid w:val="008E5751"/>
    <w:rsid w:val="008E5D28"/>
    <w:rsid w:val="008E611A"/>
    <w:rsid w:val="008E628D"/>
    <w:rsid w:val="008E6703"/>
    <w:rsid w:val="008E69A7"/>
    <w:rsid w:val="008E740E"/>
    <w:rsid w:val="008E75AE"/>
    <w:rsid w:val="008E7D6E"/>
    <w:rsid w:val="008F0A8F"/>
    <w:rsid w:val="008F0ACA"/>
    <w:rsid w:val="008F0B7F"/>
    <w:rsid w:val="008F1A29"/>
    <w:rsid w:val="008F2193"/>
    <w:rsid w:val="008F23F5"/>
    <w:rsid w:val="008F31F7"/>
    <w:rsid w:val="008F330A"/>
    <w:rsid w:val="008F3377"/>
    <w:rsid w:val="008F400B"/>
    <w:rsid w:val="008F442F"/>
    <w:rsid w:val="008F4CB2"/>
    <w:rsid w:val="008F53E1"/>
    <w:rsid w:val="008F5570"/>
    <w:rsid w:val="008F58E0"/>
    <w:rsid w:val="008F5A87"/>
    <w:rsid w:val="008F62F5"/>
    <w:rsid w:val="008F64A3"/>
    <w:rsid w:val="008F6F55"/>
    <w:rsid w:val="008F7D98"/>
    <w:rsid w:val="009001D3"/>
    <w:rsid w:val="00900776"/>
    <w:rsid w:val="00900872"/>
    <w:rsid w:val="00900BF2"/>
    <w:rsid w:val="00900E55"/>
    <w:rsid w:val="00900FAF"/>
    <w:rsid w:val="009013F8"/>
    <w:rsid w:val="0090184A"/>
    <w:rsid w:val="00901D40"/>
    <w:rsid w:val="00902B7C"/>
    <w:rsid w:val="00903158"/>
    <w:rsid w:val="009033F9"/>
    <w:rsid w:val="0090426D"/>
    <w:rsid w:val="00904798"/>
    <w:rsid w:val="00904B23"/>
    <w:rsid w:val="00905092"/>
    <w:rsid w:val="009056DA"/>
    <w:rsid w:val="009060B3"/>
    <w:rsid w:val="0090733C"/>
    <w:rsid w:val="009073C5"/>
    <w:rsid w:val="0090753F"/>
    <w:rsid w:val="0090764C"/>
    <w:rsid w:val="00907872"/>
    <w:rsid w:val="00907C38"/>
    <w:rsid w:val="00907C45"/>
    <w:rsid w:val="00907D19"/>
    <w:rsid w:val="0091010D"/>
    <w:rsid w:val="0091040D"/>
    <w:rsid w:val="0091073D"/>
    <w:rsid w:val="00911E90"/>
    <w:rsid w:val="0091227B"/>
    <w:rsid w:val="009125BC"/>
    <w:rsid w:val="00912A81"/>
    <w:rsid w:val="00912EF5"/>
    <w:rsid w:val="009133F4"/>
    <w:rsid w:val="0091415D"/>
    <w:rsid w:val="00914725"/>
    <w:rsid w:val="009147A4"/>
    <w:rsid w:val="00914B8C"/>
    <w:rsid w:val="00914D53"/>
    <w:rsid w:val="00914D5F"/>
    <w:rsid w:val="0091506C"/>
    <w:rsid w:val="009159C9"/>
    <w:rsid w:val="009159E9"/>
    <w:rsid w:val="00915D94"/>
    <w:rsid w:val="00915FE2"/>
    <w:rsid w:val="00916578"/>
    <w:rsid w:val="00920870"/>
    <w:rsid w:val="009227A7"/>
    <w:rsid w:val="00922A1F"/>
    <w:rsid w:val="00922D86"/>
    <w:rsid w:val="0092393C"/>
    <w:rsid w:val="00923CD2"/>
    <w:rsid w:val="0092431A"/>
    <w:rsid w:val="009243E0"/>
    <w:rsid w:val="00924852"/>
    <w:rsid w:val="0092533B"/>
    <w:rsid w:val="009264DB"/>
    <w:rsid w:val="00926A4D"/>
    <w:rsid w:val="009270F0"/>
    <w:rsid w:val="0092731D"/>
    <w:rsid w:val="00930694"/>
    <w:rsid w:val="009310E0"/>
    <w:rsid w:val="00932F2F"/>
    <w:rsid w:val="009334DB"/>
    <w:rsid w:val="00933530"/>
    <w:rsid w:val="00933B89"/>
    <w:rsid w:val="00934455"/>
    <w:rsid w:val="009349D6"/>
    <w:rsid w:val="0093518B"/>
    <w:rsid w:val="0093576A"/>
    <w:rsid w:val="00936227"/>
    <w:rsid w:val="0093693A"/>
    <w:rsid w:val="00937441"/>
    <w:rsid w:val="00940849"/>
    <w:rsid w:val="0094168B"/>
    <w:rsid w:val="009423CC"/>
    <w:rsid w:val="0094254C"/>
    <w:rsid w:val="00942799"/>
    <w:rsid w:val="00942B36"/>
    <w:rsid w:val="00943B59"/>
    <w:rsid w:val="00944FC8"/>
    <w:rsid w:val="00944FFF"/>
    <w:rsid w:val="00946398"/>
    <w:rsid w:val="00946646"/>
    <w:rsid w:val="0094678A"/>
    <w:rsid w:val="00947B6F"/>
    <w:rsid w:val="009504CD"/>
    <w:rsid w:val="00951C6A"/>
    <w:rsid w:val="00951CF0"/>
    <w:rsid w:val="00952990"/>
    <w:rsid w:val="00952DE1"/>
    <w:rsid w:val="00954007"/>
    <w:rsid w:val="00956E12"/>
    <w:rsid w:val="0095719C"/>
    <w:rsid w:val="009601EC"/>
    <w:rsid w:val="009603C2"/>
    <w:rsid w:val="00960977"/>
    <w:rsid w:val="00960E9F"/>
    <w:rsid w:val="00961471"/>
    <w:rsid w:val="009615B7"/>
    <w:rsid w:val="00962EFD"/>
    <w:rsid w:val="00963414"/>
    <w:rsid w:val="00963690"/>
    <w:rsid w:val="009644D0"/>
    <w:rsid w:val="009649A7"/>
    <w:rsid w:val="009649F7"/>
    <w:rsid w:val="00964C7B"/>
    <w:rsid w:val="00964E33"/>
    <w:rsid w:val="00965D4B"/>
    <w:rsid w:val="0096677C"/>
    <w:rsid w:val="009675F3"/>
    <w:rsid w:val="009678D1"/>
    <w:rsid w:val="00967FA1"/>
    <w:rsid w:val="00970AD0"/>
    <w:rsid w:val="00971013"/>
    <w:rsid w:val="009714FF"/>
    <w:rsid w:val="00971FCB"/>
    <w:rsid w:val="00972009"/>
    <w:rsid w:val="009722CB"/>
    <w:rsid w:val="009728A3"/>
    <w:rsid w:val="00973E1A"/>
    <w:rsid w:val="009759FB"/>
    <w:rsid w:val="00976954"/>
    <w:rsid w:val="00980679"/>
    <w:rsid w:val="00980C84"/>
    <w:rsid w:val="00980F87"/>
    <w:rsid w:val="00981D7B"/>
    <w:rsid w:val="009826AD"/>
    <w:rsid w:val="0098289A"/>
    <w:rsid w:val="0098326F"/>
    <w:rsid w:val="0098331F"/>
    <w:rsid w:val="00983961"/>
    <w:rsid w:val="00983D06"/>
    <w:rsid w:val="0098466A"/>
    <w:rsid w:val="009849E9"/>
    <w:rsid w:val="00984A93"/>
    <w:rsid w:val="009852EC"/>
    <w:rsid w:val="00985344"/>
    <w:rsid w:val="009855AF"/>
    <w:rsid w:val="009857AD"/>
    <w:rsid w:val="00985828"/>
    <w:rsid w:val="00985C5D"/>
    <w:rsid w:val="00986105"/>
    <w:rsid w:val="009861E9"/>
    <w:rsid w:val="009870E8"/>
    <w:rsid w:val="00987189"/>
    <w:rsid w:val="00987E45"/>
    <w:rsid w:val="00990103"/>
    <w:rsid w:val="0099040A"/>
    <w:rsid w:val="009913DD"/>
    <w:rsid w:val="00991AE2"/>
    <w:rsid w:val="00991D8F"/>
    <w:rsid w:val="0099227E"/>
    <w:rsid w:val="00992A93"/>
    <w:rsid w:val="00992CE4"/>
    <w:rsid w:val="00993D60"/>
    <w:rsid w:val="0099416E"/>
    <w:rsid w:val="009952A5"/>
    <w:rsid w:val="009953BC"/>
    <w:rsid w:val="00995BF9"/>
    <w:rsid w:val="00995C1E"/>
    <w:rsid w:val="00995DCE"/>
    <w:rsid w:val="00996438"/>
    <w:rsid w:val="00996763"/>
    <w:rsid w:val="0099723E"/>
    <w:rsid w:val="009976EB"/>
    <w:rsid w:val="009A04CC"/>
    <w:rsid w:val="009A05C0"/>
    <w:rsid w:val="009A13A7"/>
    <w:rsid w:val="009A1D6E"/>
    <w:rsid w:val="009A20FF"/>
    <w:rsid w:val="009A287E"/>
    <w:rsid w:val="009A319A"/>
    <w:rsid w:val="009A37FA"/>
    <w:rsid w:val="009A39C8"/>
    <w:rsid w:val="009A46D3"/>
    <w:rsid w:val="009A4A6A"/>
    <w:rsid w:val="009A4E76"/>
    <w:rsid w:val="009A63B7"/>
    <w:rsid w:val="009A6583"/>
    <w:rsid w:val="009A6CC9"/>
    <w:rsid w:val="009A7A98"/>
    <w:rsid w:val="009B0405"/>
    <w:rsid w:val="009B0600"/>
    <w:rsid w:val="009B0AFD"/>
    <w:rsid w:val="009B0C78"/>
    <w:rsid w:val="009B120F"/>
    <w:rsid w:val="009B1E62"/>
    <w:rsid w:val="009B2A60"/>
    <w:rsid w:val="009B4310"/>
    <w:rsid w:val="009B4B04"/>
    <w:rsid w:val="009B4C74"/>
    <w:rsid w:val="009B4D7F"/>
    <w:rsid w:val="009B4F6F"/>
    <w:rsid w:val="009C0176"/>
    <w:rsid w:val="009C16A4"/>
    <w:rsid w:val="009C16DF"/>
    <w:rsid w:val="009C1A0E"/>
    <w:rsid w:val="009C1D63"/>
    <w:rsid w:val="009C1F20"/>
    <w:rsid w:val="009C239D"/>
    <w:rsid w:val="009C2B08"/>
    <w:rsid w:val="009C3435"/>
    <w:rsid w:val="009C37D7"/>
    <w:rsid w:val="009C39F6"/>
    <w:rsid w:val="009C3D3C"/>
    <w:rsid w:val="009C443E"/>
    <w:rsid w:val="009C4C69"/>
    <w:rsid w:val="009C635A"/>
    <w:rsid w:val="009C6B28"/>
    <w:rsid w:val="009C74EA"/>
    <w:rsid w:val="009D06A1"/>
    <w:rsid w:val="009D0CEA"/>
    <w:rsid w:val="009D0F14"/>
    <w:rsid w:val="009D1632"/>
    <w:rsid w:val="009D1798"/>
    <w:rsid w:val="009D2888"/>
    <w:rsid w:val="009D3AA4"/>
    <w:rsid w:val="009D3AED"/>
    <w:rsid w:val="009D4082"/>
    <w:rsid w:val="009D42C7"/>
    <w:rsid w:val="009D45B9"/>
    <w:rsid w:val="009D4842"/>
    <w:rsid w:val="009D4A29"/>
    <w:rsid w:val="009D4B61"/>
    <w:rsid w:val="009D50E7"/>
    <w:rsid w:val="009D6057"/>
    <w:rsid w:val="009D636A"/>
    <w:rsid w:val="009E0265"/>
    <w:rsid w:val="009E28C5"/>
    <w:rsid w:val="009E310A"/>
    <w:rsid w:val="009E548B"/>
    <w:rsid w:val="009E6443"/>
    <w:rsid w:val="009E7001"/>
    <w:rsid w:val="009E729C"/>
    <w:rsid w:val="009E7C80"/>
    <w:rsid w:val="009F0314"/>
    <w:rsid w:val="009F0943"/>
    <w:rsid w:val="009F097B"/>
    <w:rsid w:val="009F2217"/>
    <w:rsid w:val="009F2D5A"/>
    <w:rsid w:val="009F2E27"/>
    <w:rsid w:val="009F2F38"/>
    <w:rsid w:val="009F3701"/>
    <w:rsid w:val="009F38B0"/>
    <w:rsid w:val="009F3A90"/>
    <w:rsid w:val="009F4116"/>
    <w:rsid w:val="009F433C"/>
    <w:rsid w:val="009F4B5B"/>
    <w:rsid w:val="009F5292"/>
    <w:rsid w:val="009F5E2A"/>
    <w:rsid w:val="009F685F"/>
    <w:rsid w:val="009F6DD8"/>
    <w:rsid w:val="009F7220"/>
    <w:rsid w:val="009F7437"/>
    <w:rsid w:val="009F7823"/>
    <w:rsid w:val="009F7F24"/>
    <w:rsid w:val="00A00953"/>
    <w:rsid w:val="00A01770"/>
    <w:rsid w:val="00A0206B"/>
    <w:rsid w:val="00A03893"/>
    <w:rsid w:val="00A043EF"/>
    <w:rsid w:val="00A04CC0"/>
    <w:rsid w:val="00A05575"/>
    <w:rsid w:val="00A056E2"/>
    <w:rsid w:val="00A05F61"/>
    <w:rsid w:val="00A10FBC"/>
    <w:rsid w:val="00A11031"/>
    <w:rsid w:val="00A1226F"/>
    <w:rsid w:val="00A122CA"/>
    <w:rsid w:val="00A127A0"/>
    <w:rsid w:val="00A1287A"/>
    <w:rsid w:val="00A12B58"/>
    <w:rsid w:val="00A13568"/>
    <w:rsid w:val="00A14390"/>
    <w:rsid w:val="00A14780"/>
    <w:rsid w:val="00A14E89"/>
    <w:rsid w:val="00A150E3"/>
    <w:rsid w:val="00A158C7"/>
    <w:rsid w:val="00A1612F"/>
    <w:rsid w:val="00A1766E"/>
    <w:rsid w:val="00A177EC"/>
    <w:rsid w:val="00A20269"/>
    <w:rsid w:val="00A21137"/>
    <w:rsid w:val="00A21A04"/>
    <w:rsid w:val="00A21B5A"/>
    <w:rsid w:val="00A21B89"/>
    <w:rsid w:val="00A2207F"/>
    <w:rsid w:val="00A22509"/>
    <w:rsid w:val="00A22C55"/>
    <w:rsid w:val="00A234BE"/>
    <w:rsid w:val="00A23AAE"/>
    <w:rsid w:val="00A2586D"/>
    <w:rsid w:val="00A2620D"/>
    <w:rsid w:val="00A26457"/>
    <w:rsid w:val="00A274D7"/>
    <w:rsid w:val="00A30803"/>
    <w:rsid w:val="00A30E73"/>
    <w:rsid w:val="00A32206"/>
    <w:rsid w:val="00A32C90"/>
    <w:rsid w:val="00A32E72"/>
    <w:rsid w:val="00A34D18"/>
    <w:rsid w:val="00A34FB2"/>
    <w:rsid w:val="00A3561C"/>
    <w:rsid w:val="00A36152"/>
    <w:rsid w:val="00A36990"/>
    <w:rsid w:val="00A36AF1"/>
    <w:rsid w:val="00A36CD9"/>
    <w:rsid w:val="00A37F71"/>
    <w:rsid w:val="00A40708"/>
    <w:rsid w:val="00A40FEF"/>
    <w:rsid w:val="00A412D5"/>
    <w:rsid w:val="00A41ED0"/>
    <w:rsid w:val="00A42588"/>
    <w:rsid w:val="00A430ED"/>
    <w:rsid w:val="00A433D2"/>
    <w:rsid w:val="00A43C9A"/>
    <w:rsid w:val="00A43CD4"/>
    <w:rsid w:val="00A44BFE"/>
    <w:rsid w:val="00A4501C"/>
    <w:rsid w:val="00A450F0"/>
    <w:rsid w:val="00A462B7"/>
    <w:rsid w:val="00A475ED"/>
    <w:rsid w:val="00A47ACF"/>
    <w:rsid w:val="00A47D4C"/>
    <w:rsid w:val="00A511E1"/>
    <w:rsid w:val="00A51926"/>
    <w:rsid w:val="00A519EA"/>
    <w:rsid w:val="00A51EDD"/>
    <w:rsid w:val="00A526A0"/>
    <w:rsid w:val="00A53073"/>
    <w:rsid w:val="00A53205"/>
    <w:rsid w:val="00A53439"/>
    <w:rsid w:val="00A53A8C"/>
    <w:rsid w:val="00A54DAB"/>
    <w:rsid w:val="00A54E20"/>
    <w:rsid w:val="00A54EA9"/>
    <w:rsid w:val="00A5558D"/>
    <w:rsid w:val="00A55E52"/>
    <w:rsid w:val="00A563DD"/>
    <w:rsid w:val="00A57C5B"/>
    <w:rsid w:val="00A60146"/>
    <w:rsid w:val="00A615ED"/>
    <w:rsid w:val="00A61827"/>
    <w:rsid w:val="00A61996"/>
    <w:rsid w:val="00A62724"/>
    <w:rsid w:val="00A63C02"/>
    <w:rsid w:val="00A63C4A"/>
    <w:rsid w:val="00A643E0"/>
    <w:rsid w:val="00A6484D"/>
    <w:rsid w:val="00A65447"/>
    <w:rsid w:val="00A661C8"/>
    <w:rsid w:val="00A66790"/>
    <w:rsid w:val="00A678D2"/>
    <w:rsid w:val="00A67A78"/>
    <w:rsid w:val="00A67C19"/>
    <w:rsid w:val="00A67E40"/>
    <w:rsid w:val="00A70E30"/>
    <w:rsid w:val="00A7145D"/>
    <w:rsid w:val="00A71BD9"/>
    <w:rsid w:val="00A71CC7"/>
    <w:rsid w:val="00A723EE"/>
    <w:rsid w:val="00A72BE8"/>
    <w:rsid w:val="00A72CBF"/>
    <w:rsid w:val="00A73452"/>
    <w:rsid w:val="00A73923"/>
    <w:rsid w:val="00A745FC"/>
    <w:rsid w:val="00A75850"/>
    <w:rsid w:val="00A76426"/>
    <w:rsid w:val="00A77780"/>
    <w:rsid w:val="00A778EC"/>
    <w:rsid w:val="00A80533"/>
    <w:rsid w:val="00A815AA"/>
    <w:rsid w:val="00A81692"/>
    <w:rsid w:val="00A81A13"/>
    <w:rsid w:val="00A81B00"/>
    <w:rsid w:val="00A841D8"/>
    <w:rsid w:val="00A8421B"/>
    <w:rsid w:val="00A85411"/>
    <w:rsid w:val="00A85915"/>
    <w:rsid w:val="00A85BC7"/>
    <w:rsid w:val="00A86387"/>
    <w:rsid w:val="00A86E39"/>
    <w:rsid w:val="00A87609"/>
    <w:rsid w:val="00A910B3"/>
    <w:rsid w:val="00A911FA"/>
    <w:rsid w:val="00A91D2F"/>
    <w:rsid w:val="00A92274"/>
    <w:rsid w:val="00A92687"/>
    <w:rsid w:val="00A92733"/>
    <w:rsid w:val="00A93DEB"/>
    <w:rsid w:val="00A943DC"/>
    <w:rsid w:val="00A9498D"/>
    <w:rsid w:val="00A957DD"/>
    <w:rsid w:val="00A95CDA"/>
    <w:rsid w:val="00A95EC1"/>
    <w:rsid w:val="00A95EE3"/>
    <w:rsid w:val="00A964CF"/>
    <w:rsid w:val="00A96D9E"/>
    <w:rsid w:val="00A97008"/>
    <w:rsid w:val="00A976A8"/>
    <w:rsid w:val="00A9790A"/>
    <w:rsid w:val="00AA0381"/>
    <w:rsid w:val="00AA125E"/>
    <w:rsid w:val="00AA12B6"/>
    <w:rsid w:val="00AA1402"/>
    <w:rsid w:val="00AA1672"/>
    <w:rsid w:val="00AA1CEA"/>
    <w:rsid w:val="00AA2244"/>
    <w:rsid w:val="00AA3DFA"/>
    <w:rsid w:val="00AA4182"/>
    <w:rsid w:val="00AA4763"/>
    <w:rsid w:val="00AA4A9D"/>
    <w:rsid w:val="00AA573E"/>
    <w:rsid w:val="00AA57A2"/>
    <w:rsid w:val="00AA59FC"/>
    <w:rsid w:val="00AA5F55"/>
    <w:rsid w:val="00AA5FD0"/>
    <w:rsid w:val="00AA68C0"/>
    <w:rsid w:val="00AA692C"/>
    <w:rsid w:val="00AA69F1"/>
    <w:rsid w:val="00AA6ED8"/>
    <w:rsid w:val="00AA74C9"/>
    <w:rsid w:val="00AA7715"/>
    <w:rsid w:val="00AA780E"/>
    <w:rsid w:val="00AA7B5A"/>
    <w:rsid w:val="00AB0199"/>
    <w:rsid w:val="00AB1290"/>
    <w:rsid w:val="00AB2562"/>
    <w:rsid w:val="00AB2CCF"/>
    <w:rsid w:val="00AB30B0"/>
    <w:rsid w:val="00AB30B6"/>
    <w:rsid w:val="00AB34C7"/>
    <w:rsid w:val="00AB35DC"/>
    <w:rsid w:val="00AB39C2"/>
    <w:rsid w:val="00AB3EDC"/>
    <w:rsid w:val="00AB3EED"/>
    <w:rsid w:val="00AB4CCC"/>
    <w:rsid w:val="00AB6410"/>
    <w:rsid w:val="00AB721E"/>
    <w:rsid w:val="00AB7A42"/>
    <w:rsid w:val="00AB7BBA"/>
    <w:rsid w:val="00AB7DB2"/>
    <w:rsid w:val="00AC0BC2"/>
    <w:rsid w:val="00AC2440"/>
    <w:rsid w:val="00AC3575"/>
    <w:rsid w:val="00AC372D"/>
    <w:rsid w:val="00AC3DD9"/>
    <w:rsid w:val="00AC4EFC"/>
    <w:rsid w:val="00AC5B0F"/>
    <w:rsid w:val="00AC619D"/>
    <w:rsid w:val="00AC6551"/>
    <w:rsid w:val="00AC6B95"/>
    <w:rsid w:val="00AC6F91"/>
    <w:rsid w:val="00AC7012"/>
    <w:rsid w:val="00AC7D30"/>
    <w:rsid w:val="00AD10A5"/>
    <w:rsid w:val="00AD1F50"/>
    <w:rsid w:val="00AD25F4"/>
    <w:rsid w:val="00AD27C2"/>
    <w:rsid w:val="00AD2D3F"/>
    <w:rsid w:val="00AD3855"/>
    <w:rsid w:val="00AD3962"/>
    <w:rsid w:val="00AD3D93"/>
    <w:rsid w:val="00AD4E94"/>
    <w:rsid w:val="00AD4F01"/>
    <w:rsid w:val="00AD5740"/>
    <w:rsid w:val="00AD5A0E"/>
    <w:rsid w:val="00AD6809"/>
    <w:rsid w:val="00AD6942"/>
    <w:rsid w:val="00AD720B"/>
    <w:rsid w:val="00AE005A"/>
    <w:rsid w:val="00AE16D7"/>
    <w:rsid w:val="00AE23EF"/>
    <w:rsid w:val="00AE2802"/>
    <w:rsid w:val="00AE366B"/>
    <w:rsid w:val="00AE3B67"/>
    <w:rsid w:val="00AE3D98"/>
    <w:rsid w:val="00AE4F90"/>
    <w:rsid w:val="00AE4FB3"/>
    <w:rsid w:val="00AE50CA"/>
    <w:rsid w:val="00AE5570"/>
    <w:rsid w:val="00AE5970"/>
    <w:rsid w:val="00AE6C5E"/>
    <w:rsid w:val="00AE764A"/>
    <w:rsid w:val="00AF0D76"/>
    <w:rsid w:val="00AF1507"/>
    <w:rsid w:val="00AF1885"/>
    <w:rsid w:val="00AF205F"/>
    <w:rsid w:val="00AF243E"/>
    <w:rsid w:val="00AF246B"/>
    <w:rsid w:val="00AF252C"/>
    <w:rsid w:val="00AF28B7"/>
    <w:rsid w:val="00AF31B4"/>
    <w:rsid w:val="00AF3268"/>
    <w:rsid w:val="00AF351A"/>
    <w:rsid w:val="00AF3D4C"/>
    <w:rsid w:val="00AF4A2E"/>
    <w:rsid w:val="00AF54C9"/>
    <w:rsid w:val="00AF6001"/>
    <w:rsid w:val="00AF620D"/>
    <w:rsid w:val="00AF677C"/>
    <w:rsid w:val="00B005E7"/>
    <w:rsid w:val="00B00CF9"/>
    <w:rsid w:val="00B00FE8"/>
    <w:rsid w:val="00B01588"/>
    <w:rsid w:val="00B0189A"/>
    <w:rsid w:val="00B01CF3"/>
    <w:rsid w:val="00B0275E"/>
    <w:rsid w:val="00B027E6"/>
    <w:rsid w:val="00B03B5A"/>
    <w:rsid w:val="00B03DDF"/>
    <w:rsid w:val="00B04185"/>
    <w:rsid w:val="00B0465F"/>
    <w:rsid w:val="00B0471F"/>
    <w:rsid w:val="00B0474D"/>
    <w:rsid w:val="00B049C9"/>
    <w:rsid w:val="00B0528C"/>
    <w:rsid w:val="00B0659D"/>
    <w:rsid w:val="00B06623"/>
    <w:rsid w:val="00B0697A"/>
    <w:rsid w:val="00B06E92"/>
    <w:rsid w:val="00B07807"/>
    <w:rsid w:val="00B07944"/>
    <w:rsid w:val="00B07DE0"/>
    <w:rsid w:val="00B1170A"/>
    <w:rsid w:val="00B129C7"/>
    <w:rsid w:val="00B12F45"/>
    <w:rsid w:val="00B13636"/>
    <w:rsid w:val="00B13E60"/>
    <w:rsid w:val="00B14DD0"/>
    <w:rsid w:val="00B15537"/>
    <w:rsid w:val="00B164B1"/>
    <w:rsid w:val="00B17110"/>
    <w:rsid w:val="00B1718A"/>
    <w:rsid w:val="00B17A67"/>
    <w:rsid w:val="00B17B7E"/>
    <w:rsid w:val="00B20644"/>
    <w:rsid w:val="00B20FDE"/>
    <w:rsid w:val="00B22E8D"/>
    <w:rsid w:val="00B239E5"/>
    <w:rsid w:val="00B23CBC"/>
    <w:rsid w:val="00B2517A"/>
    <w:rsid w:val="00B263A4"/>
    <w:rsid w:val="00B269B1"/>
    <w:rsid w:val="00B26CDB"/>
    <w:rsid w:val="00B275CF"/>
    <w:rsid w:val="00B27887"/>
    <w:rsid w:val="00B30FF3"/>
    <w:rsid w:val="00B31474"/>
    <w:rsid w:val="00B31570"/>
    <w:rsid w:val="00B31C3E"/>
    <w:rsid w:val="00B31FC2"/>
    <w:rsid w:val="00B328FA"/>
    <w:rsid w:val="00B32B40"/>
    <w:rsid w:val="00B32C19"/>
    <w:rsid w:val="00B340DA"/>
    <w:rsid w:val="00B3458B"/>
    <w:rsid w:val="00B34F27"/>
    <w:rsid w:val="00B35821"/>
    <w:rsid w:val="00B36058"/>
    <w:rsid w:val="00B3632C"/>
    <w:rsid w:val="00B4026C"/>
    <w:rsid w:val="00B40F5D"/>
    <w:rsid w:val="00B412C2"/>
    <w:rsid w:val="00B4172D"/>
    <w:rsid w:val="00B41761"/>
    <w:rsid w:val="00B41FBF"/>
    <w:rsid w:val="00B4333D"/>
    <w:rsid w:val="00B434DF"/>
    <w:rsid w:val="00B4387C"/>
    <w:rsid w:val="00B43B3D"/>
    <w:rsid w:val="00B441B7"/>
    <w:rsid w:val="00B449A9"/>
    <w:rsid w:val="00B45D3E"/>
    <w:rsid w:val="00B4602A"/>
    <w:rsid w:val="00B46700"/>
    <w:rsid w:val="00B468A1"/>
    <w:rsid w:val="00B46D1A"/>
    <w:rsid w:val="00B473D1"/>
    <w:rsid w:val="00B47DB8"/>
    <w:rsid w:val="00B5026E"/>
    <w:rsid w:val="00B508F7"/>
    <w:rsid w:val="00B51BB4"/>
    <w:rsid w:val="00B541A9"/>
    <w:rsid w:val="00B54AF2"/>
    <w:rsid w:val="00B55FE3"/>
    <w:rsid w:val="00B570ED"/>
    <w:rsid w:val="00B57647"/>
    <w:rsid w:val="00B613F7"/>
    <w:rsid w:val="00B61965"/>
    <w:rsid w:val="00B61DB8"/>
    <w:rsid w:val="00B61F4B"/>
    <w:rsid w:val="00B62700"/>
    <w:rsid w:val="00B636A1"/>
    <w:rsid w:val="00B6372B"/>
    <w:rsid w:val="00B66C10"/>
    <w:rsid w:val="00B67C0A"/>
    <w:rsid w:val="00B71395"/>
    <w:rsid w:val="00B71768"/>
    <w:rsid w:val="00B71953"/>
    <w:rsid w:val="00B71ECF"/>
    <w:rsid w:val="00B7294B"/>
    <w:rsid w:val="00B73820"/>
    <w:rsid w:val="00B73949"/>
    <w:rsid w:val="00B73F7B"/>
    <w:rsid w:val="00B740CD"/>
    <w:rsid w:val="00B75E3A"/>
    <w:rsid w:val="00B75FCB"/>
    <w:rsid w:val="00B765F1"/>
    <w:rsid w:val="00B76F10"/>
    <w:rsid w:val="00B7701C"/>
    <w:rsid w:val="00B772C1"/>
    <w:rsid w:val="00B778E2"/>
    <w:rsid w:val="00B77E5C"/>
    <w:rsid w:val="00B77E9C"/>
    <w:rsid w:val="00B807E2"/>
    <w:rsid w:val="00B80A17"/>
    <w:rsid w:val="00B80C70"/>
    <w:rsid w:val="00B823C7"/>
    <w:rsid w:val="00B82E63"/>
    <w:rsid w:val="00B846CB"/>
    <w:rsid w:val="00B84ED1"/>
    <w:rsid w:val="00B860BF"/>
    <w:rsid w:val="00B868D8"/>
    <w:rsid w:val="00B86CF0"/>
    <w:rsid w:val="00B87742"/>
    <w:rsid w:val="00B902F5"/>
    <w:rsid w:val="00B90EC2"/>
    <w:rsid w:val="00B919DC"/>
    <w:rsid w:val="00B92197"/>
    <w:rsid w:val="00B92A92"/>
    <w:rsid w:val="00B94C2E"/>
    <w:rsid w:val="00B94CA0"/>
    <w:rsid w:val="00B9540D"/>
    <w:rsid w:val="00B9666F"/>
    <w:rsid w:val="00B973DE"/>
    <w:rsid w:val="00B974FF"/>
    <w:rsid w:val="00B977B6"/>
    <w:rsid w:val="00B977CA"/>
    <w:rsid w:val="00B97AA6"/>
    <w:rsid w:val="00B97E78"/>
    <w:rsid w:val="00BA03AA"/>
    <w:rsid w:val="00BA04DC"/>
    <w:rsid w:val="00BA1011"/>
    <w:rsid w:val="00BA1C1D"/>
    <w:rsid w:val="00BA369E"/>
    <w:rsid w:val="00BA3A30"/>
    <w:rsid w:val="00BA490C"/>
    <w:rsid w:val="00BA5004"/>
    <w:rsid w:val="00BA5362"/>
    <w:rsid w:val="00BA5409"/>
    <w:rsid w:val="00BA57B8"/>
    <w:rsid w:val="00BA74C2"/>
    <w:rsid w:val="00BA74E4"/>
    <w:rsid w:val="00BA7C1A"/>
    <w:rsid w:val="00BA7E82"/>
    <w:rsid w:val="00BB0717"/>
    <w:rsid w:val="00BB0DE6"/>
    <w:rsid w:val="00BB21A2"/>
    <w:rsid w:val="00BB3839"/>
    <w:rsid w:val="00BB4AD9"/>
    <w:rsid w:val="00BB5039"/>
    <w:rsid w:val="00BB56AB"/>
    <w:rsid w:val="00BB5E5A"/>
    <w:rsid w:val="00BB733B"/>
    <w:rsid w:val="00BB7AA7"/>
    <w:rsid w:val="00BC07E4"/>
    <w:rsid w:val="00BC15EB"/>
    <w:rsid w:val="00BC17CF"/>
    <w:rsid w:val="00BC1AAD"/>
    <w:rsid w:val="00BC1C38"/>
    <w:rsid w:val="00BC39DD"/>
    <w:rsid w:val="00BC4EA8"/>
    <w:rsid w:val="00BC51D0"/>
    <w:rsid w:val="00BC7064"/>
    <w:rsid w:val="00BC7A13"/>
    <w:rsid w:val="00BC7FBC"/>
    <w:rsid w:val="00BD05F2"/>
    <w:rsid w:val="00BD0AAF"/>
    <w:rsid w:val="00BD1AE3"/>
    <w:rsid w:val="00BD1F8A"/>
    <w:rsid w:val="00BD2116"/>
    <w:rsid w:val="00BD2DB4"/>
    <w:rsid w:val="00BD3B0A"/>
    <w:rsid w:val="00BD4EC5"/>
    <w:rsid w:val="00BD5160"/>
    <w:rsid w:val="00BD53BC"/>
    <w:rsid w:val="00BD553B"/>
    <w:rsid w:val="00BD58BB"/>
    <w:rsid w:val="00BD66F7"/>
    <w:rsid w:val="00BD67B1"/>
    <w:rsid w:val="00BD6D3A"/>
    <w:rsid w:val="00BD7225"/>
    <w:rsid w:val="00BD72AD"/>
    <w:rsid w:val="00BD7F90"/>
    <w:rsid w:val="00BE12F2"/>
    <w:rsid w:val="00BE1C5D"/>
    <w:rsid w:val="00BE2422"/>
    <w:rsid w:val="00BE3110"/>
    <w:rsid w:val="00BE326B"/>
    <w:rsid w:val="00BE3BD4"/>
    <w:rsid w:val="00BE442F"/>
    <w:rsid w:val="00BE5E49"/>
    <w:rsid w:val="00BE71D0"/>
    <w:rsid w:val="00BE775D"/>
    <w:rsid w:val="00BE7956"/>
    <w:rsid w:val="00BE7EC8"/>
    <w:rsid w:val="00BF0250"/>
    <w:rsid w:val="00BF1028"/>
    <w:rsid w:val="00BF1045"/>
    <w:rsid w:val="00BF107C"/>
    <w:rsid w:val="00BF18EF"/>
    <w:rsid w:val="00BF1C7B"/>
    <w:rsid w:val="00BF2C2D"/>
    <w:rsid w:val="00BF34D3"/>
    <w:rsid w:val="00BF3623"/>
    <w:rsid w:val="00BF3C3D"/>
    <w:rsid w:val="00BF3FB5"/>
    <w:rsid w:val="00BF5184"/>
    <w:rsid w:val="00BF6394"/>
    <w:rsid w:val="00BF7073"/>
    <w:rsid w:val="00BF7302"/>
    <w:rsid w:val="00BF7420"/>
    <w:rsid w:val="00C00877"/>
    <w:rsid w:val="00C00C83"/>
    <w:rsid w:val="00C0135A"/>
    <w:rsid w:val="00C015C9"/>
    <w:rsid w:val="00C0173C"/>
    <w:rsid w:val="00C026A5"/>
    <w:rsid w:val="00C02967"/>
    <w:rsid w:val="00C036EA"/>
    <w:rsid w:val="00C03A43"/>
    <w:rsid w:val="00C042F5"/>
    <w:rsid w:val="00C05159"/>
    <w:rsid w:val="00C052F9"/>
    <w:rsid w:val="00C0586D"/>
    <w:rsid w:val="00C05B08"/>
    <w:rsid w:val="00C05EDD"/>
    <w:rsid w:val="00C060D7"/>
    <w:rsid w:val="00C067BA"/>
    <w:rsid w:val="00C06B1B"/>
    <w:rsid w:val="00C07724"/>
    <w:rsid w:val="00C078CE"/>
    <w:rsid w:val="00C07B83"/>
    <w:rsid w:val="00C07BF2"/>
    <w:rsid w:val="00C1007B"/>
    <w:rsid w:val="00C11CFD"/>
    <w:rsid w:val="00C126C7"/>
    <w:rsid w:val="00C12E46"/>
    <w:rsid w:val="00C14C11"/>
    <w:rsid w:val="00C16872"/>
    <w:rsid w:val="00C1790D"/>
    <w:rsid w:val="00C20671"/>
    <w:rsid w:val="00C20BEC"/>
    <w:rsid w:val="00C2178D"/>
    <w:rsid w:val="00C22C6F"/>
    <w:rsid w:val="00C232BD"/>
    <w:rsid w:val="00C23324"/>
    <w:rsid w:val="00C2392C"/>
    <w:rsid w:val="00C24389"/>
    <w:rsid w:val="00C2456E"/>
    <w:rsid w:val="00C248FA"/>
    <w:rsid w:val="00C24B14"/>
    <w:rsid w:val="00C24E64"/>
    <w:rsid w:val="00C2538A"/>
    <w:rsid w:val="00C25CF8"/>
    <w:rsid w:val="00C25E8C"/>
    <w:rsid w:val="00C26392"/>
    <w:rsid w:val="00C26B11"/>
    <w:rsid w:val="00C26FE3"/>
    <w:rsid w:val="00C2782C"/>
    <w:rsid w:val="00C27993"/>
    <w:rsid w:val="00C27D2E"/>
    <w:rsid w:val="00C27EB7"/>
    <w:rsid w:val="00C31381"/>
    <w:rsid w:val="00C31787"/>
    <w:rsid w:val="00C31E24"/>
    <w:rsid w:val="00C32E67"/>
    <w:rsid w:val="00C32F9D"/>
    <w:rsid w:val="00C332DC"/>
    <w:rsid w:val="00C33530"/>
    <w:rsid w:val="00C3354A"/>
    <w:rsid w:val="00C33B55"/>
    <w:rsid w:val="00C34AD1"/>
    <w:rsid w:val="00C360F1"/>
    <w:rsid w:val="00C366FB"/>
    <w:rsid w:val="00C367DA"/>
    <w:rsid w:val="00C368B0"/>
    <w:rsid w:val="00C36BEF"/>
    <w:rsid w:val="00C36E3B"/>
    <w:rsid w:val="00C36ED0"/>
    <w:rsid w:val="00C407D1"/>
    <w:rsid w:val="00C43DF5"/>
    <w:rsid w:val="00C4445D"/>
    <w:rsid w:val="00C446A5"/>
    <w:rsid w:val="00C44E8B"/>
    <w:rsid w:val="00C45513"/>
    <w:rsid w:val="00C457FF"/>
    <w:rsid w:val="00C50370"/>
    <w:rsid w:val="00C50B35"/>
    <w:rsid w:val="00C50C13"/>
    <w:rsid w:val="00C510C1"/>
    <w:rsid w:val="00C5139D"/>
    <w:rsid w:val="00C5161F"/>
    <w:rsid w:val="00C52A38"/>
    <w:rsid w:val="00C5326B"/>
    <w:rsid w:val="00C550AF"/>
    <w:rsid w:val="00C5566E"/>
    <w:rsid w:val="00C556F2"/>
    <w:rsid w:val="00C55753"/>
    <w:rsid w:val="00C557C9"/>
    <w:rsid w:val="00C55F2C"/>
    <w:rsid w:val="00C5731D"/>
    <w:rsid w:val="00C57EDB"/>
    <w:rsid w:val="00C60B69"/>
    <w:rsid w:val="00C613BD"/>
    <w:rsid w:val="00C6143B"/>
    <w:rsid w:val="00C61938"/>
    <w:rsid w:val="00C61B49"/>
    <w:rsid w:val="00C61EC1"/>
    <w:rsid w:val="00C620B6"/>
    <w:rsid w:val="00C630E2"/>
    <w:rsid w:val="00C6399A"/>
    <w:rsid w:val="00C64688"/>
    <w:rsid w:val="00C64A8B"/>
    <w:rsid w:val="00C65EFD"/>
    <w:rsid w:val="00C66344"/>
    <w:rsid w:val="00C66DF0"/>
    <w:rsid w:val="00C67BF9"/>
    <w:rsid w:val="00C7010D"/>
    <w:rsid w:val="00C70870"/>
    <w:rsid w:val="00C70EE8"/>
    <w:rsid w:val="00C712D8"/>
    <w:rsid w:val="00C71C88"/>
    <w:rsid w:val="00C71D54"/>
    <w:rsid w:val="00C7239C"/>
    <w:rsid w:val="00C72EA2"/>
    <w:rsid w:val="00C73AC3"/>
    <w:rsid w:val="00C74C83"/>
    <w:rsid w:val="00C74D1C"/>
    <w:rsid w:val="00C74D80"/>
    <w:rsid w:val="00C75764"/>
    <w:rsid w:val="00C75A77"/>
    <w:rsid w:val="00C75BAD"/>
    <w:rsid w:val="00C760B8"/>
    <w:rsid w:val="00C76228"/>
    <w:rsid w:val="00C7666E"/>
    <w:rsid w:val="00C769AE"/>
    <w:rsid w:val="00C76CBE"/>
    <w:rsid w:val="00C76CF9"/>
    <w:rsid w:val="00C76DF2"/>
    <w:rsid w:val="00C77D80"/>
    <w:rsid w:val="00C810C3"/>
    <w:rsid w:val="00C8164B"/>
    <w:rsid w:val="00C81DE8"/>
    <w:rsid w:val="00C82273"/>
    <w:rsid w:val="00C82755"/>
    <w:rsid w:val="00C8353E"/>
    <w:rsid w:val="00C83610"/>
    <w:rsid w:val="00C83C1B"/>
    <w:rsid w:val="00C846C8"/>
    <w:rsid w:val="00C84A69"/>
    <w:rsid w:val="00C84B1B"/>
    <w:rsid w:val="00C84E31"/>
    <w:rsid w:val="00C85C38"/>
    <w:rsid w:val="00C877DE"/>
    <w:rsid w:val="00C90004"/>
    <w:rsid w:val="00C90AEC"/>
    <w:rsid w:val="00C90B4F"/>
    <w:rsid w:val="00C9158A"/>
    <w:rsid w:val="00C918AE"/>
    <w:rsid w:val="00C918CC"/>
    <w:rsid w:val="00C91CD5"/>
    <w:rsid w:val="00C923A5"/>
    <w:rsid w:val="00C92864"/>
    <w:rsid w:val="00C938F9"/>
    <w:rsid w:val="00C94C69"/>
    <w:rsid w:val="00C959A0"/>
    <w:rsid w:val="00C95D73"/>
    <w:rsid w:val="00C96B0B"/>
    <w:rsid w:val="00CA01A6"/>
    <w:rsid w:val="00CA0328"/>
    <w:rsid w:val="00CA06E3"/>
    <w:rsid w:val="00CA08C8"/>
    <w:rsid w:val="00CA151F"/>
    <w:rsid w:val="00CA246A"/>
    <w:rsid w:val="00CA30CC"/>
    <w:rsid w:val="00CA33BA"/>
    <w:rsid w:val="00CA34D9"/>
    <w:rsid w:val="00CA3BDA"/>
    <w:rsid w:val="00CA4030"/>
    <w:rsid w:val="00CA40BC"/>
    <w:rsid w:val="00CA423B"/>
    <w:rsid w:val="00CA467F"/>
    <w:rsid w:val="00CA478A"/>
    <w:rsid w:val="00CA4F54"/>
    <w:rsid w:val="00CA64C0"/>
    <w:rsid w:val="00CA6E5E"/>
    <w:rsid w:val="00CB06F8"/>
    <w:rsid w:val="00CB0A1E"/>
    <w:rsid w:val="00CB104F"/>
    <w:rsid w:val="00CB1FD9"/>
    <w:rsid w:val="00CB2115"/>
    <w:rsid w:val="00CB25CB"/>
    <w:rsid w:val="00CB26B4"/>
    <w:rsid w:val="00CB27CF"/>
    <w:rsid w:val="00CB2898"/>
    <w:rsid w:val="00CB2903"/>
    <w:rsid w:val="00CB2C7F"/>
    <w:rsid w:val="00CB3041"/>
    <w:rsid w:val="00CB323E"/>
    <w:rsid w:val="00CB3FFF"/>
    <w:rsid w:val="00CB440F"/>
    <w:rsid w:val="00CB4834"/>
    <w:rsid w:val="00CB4F63"/>
    <w:rsid w:val="00CB5AF1"/>
    <w:rsid w:val="00CB5AFF"/>
    <w:rsid w:val="00CB5ECE"/>
    <w:rsid w:val="00CB7A36"/>
    <w:rsid w:val="00CC361B"/>
    <w:rsid w:val="00CC3BE9"/>
    <w:rsid w:val="00CC3FAA"/>
    <w:rsid w:val="00CC4501"/>
    <w:rsid w:val="00CC693B"/>
    <w:rsid w:val="00CC6D93"/>
    <w:rsid w:val="00CC72E8"/>
    <w:rsid w:val="00CC789B"/>
    <w:rsid w:val="00CD1D11"/>
    <w:rsid w:val="00CD27AC"/>
    <w:rsid w:val="00CD402F"/>
    <w:rsid w:val="00CD4141"/>
    <w:rsid w:val="00CD4669"/>
    <w:rsid w:val="00CD4C1A"/>
    <w:rsid w:val="00CD4E39"/>
    <w:rsid w:val="00CD53E1"/>
    <w:rsid w:val="00CD621C"/>
    <w:rsid w:val="00CD66D0"/>
    <w:rsid w:val="00CD73AE"/>
    <w:rsid w:val="00CE0111"/>
    <w:rsid w:val="00CE0BBE"/>
    <w:rsid w:val="00CE19A7"/>
    <w:rsid w:val="00CE1AD7"/>
    <w:rsid w:val="00CE1B58"/>
    <w:rsid w:val="00CE2561"/>
    <w:rsid w:val="00CE320E"/>
    <w:rsid w:val="00CE3F39"/>
    <w:rsid w:val="00CE4B50"/>
    <w:rsid w:val="00CE65A4"/>
    <w:rsid w:val="00CE699E"/>
    <w:rsid w:val="00CE7F84"/>
    <w:rsid w:val="00CF079F"/>
    <w:rsid w:val="00CF0B45"/>
    <w:rsid w:val="00CF0E25"/>
    <w:rsid w:val="00CF1087"/>
    <w:rsid w:val="00CF109B"/>
    <w:rsid w:val="00CF1350"/>
    <w:rsid w:val="00CF1652"/>
    <w:rsid w:val="00CF1A89"/>
    <w:rsid w:val="00CF2F70"/>
    <w:rsid w:val="00CF35A4"/>
    <w:rsid w:val="00CF391B"/>
    <w:rsid w:val="00CF4119"/>
    <w:rsid w:val="00CF4286"/>
    <w:rsid w:val="00CF594B"/>
    <w:rsid w:val="00CF608F"/>
    <w:rsid w:val="00CF642A"/>
    <w:rsid w:val="00CF6AE6"/>
    <w:rsid w:val="00CF6E57"/>
    <w:rsid w:val="00CF7458"/>
    <w:rsid w:val="00D01593"/>
    <w:rsid w:val="00D01A4E"/>
    <w:rsid w:val="00D01E3D"/>
    <w:rsid w:val="00D02DD0"/>
    <w:rsid w:val="00D035FB"/>
    <w:rsid w:val="00D03F46"/>
    <w:rsid w:val="00D04375"/>
    <w:rsid w:val="00D043C0"/>
    <w:rsid w:val="00D051A6"/>
    <w:rsid w:val="00D051B4"/>
    <w:rsid w:val="00D05A18"/>
    <w:rsid w:val="00D060B7"/>
    <w:rsid w:val="00D061A6"/>
    <w:rsid w:val="00D062DD"/>
    <w:rsid w:val="00D063AF"/>
    <w:rsid w:val="00D0667C"/>
    <w:rsid w:val="00D06BF8"/>
    <w:rsid w:val="00D06C73"/>
    <w:rsid w:val="00D0722D"/>
    <w:rsid w:val="00D078AD"/>
    <w:rsid w:val="00D1089E"/>
    <w:rsid w:val="00D113E3"/>
    <w:rsid w:val="00D11781"/>
    <w:rsid w:val="00D11CD8"/>
    <w:rsid w:val="00D12121"/>
    <w:rsid w:val="00D12E14"/>
    <w:rsid w:val="00D130F0"/>
    <w:rsid w:val="00D134C0"/>
    <w:rsid w:val="00D137DE"/>
    <w:rsid w:val="00D14024"/>
    <w:rsid w:val="00D15601"/>
    <w:rsid w:val="00D15854"/>
    <w:rsid w:val="00D15D8D"/>
    <w:rsid w:val="00D16C77"/>
    <w:rsid w:val="00D1784D"/>
    <w:rsid w:val="00D2093D"/>
    <w:rsid w:val="00D20FB6"/>
    <w:rsid w:val="00D212C0"/>
    <w:rsid w:val="00D213DD"/>
    <w:rsid w:val="00D21CB2"/>
    <w:rsid w:val="00D2253F"/>
    <w:rsid w:val="00D228D6"/>
    <w:rsid w:val="00D22AEB"/>
    <w:rsid w:val="00D22ED8"/>
    <w:rsid w:val="00D22F09"/>
    <w:rsid w:val="00D22FBE"/>
    <w:rsid w:val="00D23424"/>
    <w:rsid w:val="00D24F4A"/>
    <w:rsid w:val="00D25749"/>
    <w:rsid w:val="00D25E1A"/>
    <w:rsid w:val="00D26BE7"/>
    <w:rsid w:val="00D27C01"/>
    <w:rsid w:val="00D27C1F"/>
    <w:rsid w:val="00D3052C"/>
    <w:rsid w:val="00D30714"/>
    <w:rsid w:val="00D30ADB"/>
    <w:rsid w:val="00D32608"/>
    <w:rsid w:val="00D326C2"/>
    <w:rsid w:val="00D32896"/>
    <w:rsid w:val="00D3293D"/>
    <w:rsid w:val="00D337D5"/>
    <w:rsid w:val="00D343B3"/>
    <w:rsid w:val="00D34664"/>
    <w:rsid w:val="00D35A09"/>
    <w:rsid w:val="00D35E5F"/>
    <w:rsid w:val="00D36521"/>
    <w:rsid w:val="00D373E7"/>
    <w:rsid w:val="00D37779"/>
    <w:rsid w:val="00D3783A"/>
    <w:rsid w:val="00D40EAB"/>
    <w:rsid w:val="00D40EF1"/>
    <w:rsid w:val="00D4243C"/>
    <w:rsid w:val="00D426F9"/>
    <w:rsid w:val="00D43436"/>
    <w:rsid w:val="00D439E8"/>
    <w:rsid w:val="00D44918"/>
    <w:rsid w:val="00D44E89"/>
    <w:rsid w:val="00D451E7"/>
    <w:rsid w:val="00D4751F"/>
    <w:rsid w:val="00D479E9"/>
    <w:rsid w:val="00D47C83"/>
    <w:rsid w:val="00D504E6"/>
    <w:rsid w:val="00D50B42"/>
    <w:rsid w:val="00D51F67"/>
    <w:rsid w:val="00D52347"/>
    <w:rsid w:val="00D52F1F"/>
    <w:rsid w:val="00D53792"/>
    <w:rsid w:val="00D559F3"/>
    <w:rsid w:val="00D562B1"/>
    <w:rsid w:val="00D562E8"/>
    <w:rsid w:val="00D61415"/>
    <w:rsid w:val="00D61C29"/>
    <w:rsid w:val="00D63075"/>
    <w:rsid w:val="00D63280"/>
    <w:rsid w:val="00D6558E"/>
    <w:rsid w:val="00D65F56"/>
    <w:rsid w:val="00D66834"/>
    <w:rsid w:val="00D66D9C"/>
    <w:rsid w:val="00D6745C"/>
    <w:rsid w:val="00D678BA"/>
    <w:rsid w:val="00D67A21"/>
    <w:rsid w:val="00D722CB"/>
    <w:rsid w:val="00D725F7"/>
    <w:rsid w:val="00D7269B"/>
    <w:rsid w:val="00D73771"/>
    <w:rsid w:val="00D73E29"/>
    <w:rsid w:val="00D74247"/>
    <w:rsid w:val="00D74953"/>
    <w:rsid w:val="00D74D07"/>
    <w:rsid w:val="00D7508D"/>
    <w:rsid w:val="00D75B3B"/>
    <w:rsid w:val="00D75C24"/>
    <w:rsid w:val="00D75D47"/>
    <w:rsid w:val="00D76C87"/>
    <w:rsid w:val="00D76EB3"/>
    <w:rsid w:val="00D76EE6"/>
    <w:rsid w:val="00D771C5"/>
    <w:rsid w:val="00D771EB"/>
    <w:rsid w:val="00D7768E"/>
    <w:rsid w:val="00D80C20"/>
    <w:rsid w:val="00D80CC7"/>
    <w:rsid w:val="00D817B1"/>
    <w:rsid w:val="00D82DFF"/>
    <w:rsid w:val="00D8322B"/>
    <w:rsid w:val="00D83A66"/>
    <w:rsid w:val="00D841D1"/>
    <w:rsid w:val="00D84234"/>
    <w:rsid w:val="00D84A29"/>
    <w:rsid w:val="00D84E47"/>
    <w:rsid w:val="00D84E65"/>
    <w:rsid w:val="00D85B4F"/>
    <w:rsid w:val="00D85D36"/>
    <w:rsid w:val="00D864DE"/>
    <w:rsid w:val="00D876C7"/>
    <w:rsid w:val="00D87953"/>
    <w:rsid w:val="00D87E5A"/>
    <w:rsid w:val="00D87F24"/>
    <w:rsid w:val="00D90504"/>
    <w:rsid w:val="00D907AC"/>
    <w:rsid w:val="00D9135F"/>
    <w:rsid w:val="00D91E53"/>
    <w:rsid w:val="00D92216"/>
    <w:rsid w:val="00D92C12"/>
    <w:rsid w:val="00D940E0"/>
    <w:rsid w:val="00D94A5A"/>
    <w:rsid w:val="00D96213"/>
    <w:rsid w:val="00D96345"/>
    <w:rsid w:val="00D969EF"/>
    <w:rsid w:val="00D96B80"/>
    <w:rsid w:val="00D9730F"/>
    <w:rsid w:val="00D9754F"/>
    <w:rsid w:val="00DA125B"/>
    <w:rsid w:val="00DA1980"/>
    <w:rsid w:val="00DA2464"/>
    <w:rsid w:val="00DA3BAB"/>
    <w:rsid w:val="00DA4242"/>
    <w:rsid w:val="00DA500B"/>
    <w:rsid w:val="00DA53DE"/>
    <w:rsid w:val="00DA551B"/>
    <w:rsid w:val="00DA55D7"/>
    <w:rsid w:val="00DA5BFF"/>
    <w:rsid w:val="00DA5D64"/>
    <w:rsid w:val="00DA63D8"/>
    <w:rsid w:val="00DA657C"/>
    <w:rsid w:val="00DA6594"/>
    <w:rsid w:val="00DA69A1"/>
    <w:rsid w:val="00DA6B2D"/>
    <w:rsid w:val="00DA6CBC"/>
    <w:rsid w:val="00DA7DD0"/>
    <w:rsid w:val="00DB040C"/>
    <w:rsid w:val="00DB0515"/>
    <w:rsid w:val="00DB0F1F"/>
    <w:rsid w:val="00DB18CC"/>
    <w:rsid w:val="00DB1E14"/>
    <w:rsid w:val="00DB248E"/>
    <w:rsid w:val="00DB2BCD"/>
    <w:rsid w:val="00DB4426"/>
    <w:rsid w:val="00DB4F91"/>
    <w:rsid w:val="00DB5DB2"/>
    <w:rsid w:val="00DB6A01"/>
    <w:rsid w:val="00DB71B8"/>
    <w:rsid w:val="00DB75DD"/>
    <w:rsid w:val="00DB767D"/>
    <w:rsid w:val="00DB77B1"/>
    <w:rsid w:val="00DC014D"/>
    <w:rsid w:val="00DC0233"/>
    <w:rsid w:val="00DC0352"/>
    <w:rsid w:val="00DC0CC7"/>
    <w:rsid w:val="00DC123B"/>
    <w:rsid w:val="00DC192F"/>
    <w:rsid w:val="00DC1A64"/>
    <w:rsid w:val="00DC1E9E"/>
    <w:rsid w:val="00DC24DA"/>
    <w:rsid w:val="00DC255D"/>
    <w:rsid w:val="00DC305F"/>
    <w:rsid w:val="00DC3716"/>
    <w:rsid w:val="00DC4083"/>
    <w:rsid w:val="00DC4480"/>
    <w:rsid w:val="00DC48BA"/>
    <w:rsid w:val="00DC4B58"/>
    <w:rsid w:val="00DC5E0A"/>
    <w:rsid w:val="00DD0319"/>
    <w:rsid w:val="00DD0951"/>
    <w:rsid w:val="00DD2F8B"/>
    <w:rsid w:val="00DD3249"/>
    <w:rsid w:val="00DD3463"/>
    <w:rsid w:val="00DD3BEB"/>
    <w:rsid w:val="00DD49D4"/>
    <w:rsid w:val="00DD56A2"/>
    <w:rsid w:val="00DD597D"/>
    <w:rsid w:val="00DD7638"/>
    <w:rsid w:val="00DD7788"/>
    <w:rsid w:val="00DE028E"/>
    <w:rsid w:val="00DE0B2A"/>
    <w:rsid w:val="00DE0B69"/>
    <w:rsid w:val="00DE14F9"/>
    <w:rsid w:val="00DE214D"/>
    <w:rsid w:val="00DE2604"/>
    <w:rsid w:val="00DE2AD4"/>
    <w:rsid w:val="00DE352C"/>
    <w:rsid w:val="00DE38CB"/>
    <w:rsid w:val="00DE3ED9"/>
    <w:rsid w:val="00DE458B"/>
    <w:rsid w:val="00DE49AA"/>
    <w:rsid w:val="00DE4B5D"/>
    <w:rsid w:val="00DE4D8B"/>
    <w:rsid w:val="00DE591F"/>
    <w:rsid w:val="00DE5CA5"/>
    <w:rsid w:val="00DE631D"/>
    <w:rsid w:val="00DE6BD1"/>
    <w:rsid w:val="00DE6C7A"/>
    <w:rsid w:val="00DF01BB"/>
    <w:rsid w:val="00DF0EB3"/>
    <w:rsid w:val="00DF1000"/>
    <w:rsid w:val="00DF10C2"/>
    <w:rsid w:val="00DF1610"/>
    <w:rsid w:val="00DF19FF"/>
    <w:rsid w:val="00DF1DD2"/>
    <w:rsid w:val="00DF1E0D"/>
    <w:rsid w:val="00DF203D"/>
    <w:rsid w:val="00DF2699"/>
    <w:rsid w:val="00DF2F8E"/>
    <w:rsid w:val="00DF55EB"/>
    <w:rsid w:val="00DF77D8"/>
    <w:rsid w:val="00E00017"/>
    <w:rsid w:val="00E02495"/>
    <w:rsid w:val="00E031A1"/>
    <w:rsid w:val="00E03DC7"/>
    <w:rsid w:val="00E03FB1"/>
    <w:rsid w:val="00E041B1"/>
    <w:rsid w:val="00E0435F"/>
    <w:rsid w:val="00E044AA"/>
    <w:rsid w:val="00E0476F"/>
    <w:rsid w:val="00E05450"/>
    <w:rsid w:val="00E054BA"/>
    <w:rsid w:val="00E06CF1"/>
    <w:rsid w:val="00E074E4"/>
    <w:rsid w:val="00E11CE8"/>
    <w:rsid w:val="00E12766"/>
    <w:rsid w:val="00E12BB7"/>
    <w:rsid w:val="00E12CC8"/>
    <w:rsid w:val="00E14036"/>
    <w:rsid w:val="00E148E0"/>
    <w:rsid w:val="00E149D6"/>
    <w:rsid w:val="00E14D76"/>
    <w:rsid w:val="00E1525B"/>
    <w:rsid w:val="00E153A7"/>
    <w:rsid w:val="00E1554A"/>
    <w:rsid w:val="00E16425"/>
    <w:rsid w:val="00E1670E"/>
    <w:rsid w:val="00E16F3D"/>
    <w:rsid w:val="00E17071"/>
    <w:rsid w:val="00E2055E"/>
    <w:rsid w:val="00E21D2B"/>
    <w:rsid w:val="00E21F64"/>
    <w:rsid w:val="00E222EB"/>
    <w:rsid w:val="00E2242A"/>
    <w:rsid w:val="00E23A3E"/>
    <w:rsid w:val="00E2643E"/>
    <w:rsid w:val="00E2733F"/>
    <w:rsid w:val="00E27F8A"/>
    <w:rsid w:val="00E303CC"/>
    <w:rsid w:val="00E314DA"/>
    <w:rsid w:val="00E31891"/>
    <w:rsid w:val="00E322C9"/>
    <w:rsid w:val="00E326C3"/>
    <w:rsid w:val="00E328C4"/>
    <w:rsid w:val="00E32E95"/>
    <w:rsid w:val="00E341BE"/>
    <w:rsid w:val="00E34492"/>
    <w:rsid w:val="00E3641B"/>
    <w:rsid w:val="00E37F08"/>
    <w:rsid w:val="00E405B0"/>
    <w:rsid w:val="00E40846"/>
    <w:rsid w:val="00E41062"/>
    <w:rsid w:val="00E4252B"/>
    <w:rsid w:val="00E42B21"/>
    <w:rsid w:val="00E44228"/>
    <w:rsid w:val="00E45437"/>
    <w:rsid w:val="00E45765"/>
    <w:rsid w:val="00E45A4B"/>
    <w:rsid w:val="00E45EA2"/>
    <w:rsid w:val="00E45EB0"/>
    <w:rsid w:val="00E46785"/>
    <w:rsid w:val="00E47089"/>
    <w:rsid w:val="00E47189"/>
    <w:rsid w:val="00E475DB"/>
    <w:rsid w:val="00E47C4A"/>
    <w:rsid w:val="00E50683"/>
    <w:rsid w:val="00E50CB1"/>
    <w:rsid w:val="00E50D73"/>
    <w:rsid w:val="00E52643"/>
    <w:rsid w:val="00E527CC"/>
    <w:rsid w:val="00E5329C"/>
    <w:rsid w:val="00E5357D"/>
    <w:rsid w:val="00E5425E"/>
    <w:rsid w:val="00E5436D"/>
    <w:rsid w:val="00E54666"/>
    <w:rsid w:val="00E54879"/>
    <w:rsid w:val="00E54C56"/>
    <w:rsid w:val="00E54C89"/>
    <w:rsid w:val="00E54CDA"/>
    <w:rsid w:val="00E551B1"/>
    <w:rsid w:val="00E551DA"/>
    <w:rsid w:val="00E56152"/>
    <w:rsid w:val="00E56865"/>
    <w:rsid w:val="00E56D94"/>
    <w:rsid w:val="00E56FEC"/>
    <w:rsid w:val="00E57A8F"/>
    <w:rsid w:val="00E601BF"/>
    <w:rsid w:val="00E6095C"/>
    <w:rsid w:val="00E610CA"/>
    <w:rsid w:val="00E61477"/>
    <w:rsid w:val="00E61561"/>
    <w:rsid w:val="00E61FC5"/>
    <w:rsid w:val="00E62288"/>
    <w:rsid w:val="00E62919"/>
    <w:rsid w:val="00E62A69"/>
    <w:rsid w:val="00E63D87"/>
    <w:rsid w:val="00E643D7"/>
    <w:rsid w:val="00E65941"/>
    <w:rsid w:val="00E65BF6"/>
    <w:rsid w:val="00E67064"/>
    <w:rsid w:val="00E6755E"/>
    <w:rsid w:val="00E679E2"/>
    <w:rsid w:val="00E703B5"/>
    <w:rsid w:val="00E712E7"/>
    <w:rsid w:val="00E718A6"/>
    <w:rsid w:val="00E72042"/>
    <w:rsid w:val="00E721E0"/>
    <w:rsid w:val="00E72F78"/>
    <w:rsid w:val="00E737C7"/>
    <w:rsid w:val="00E737D4"/>
    <w:rsid w:val="00E73C11"/>
    <w:rsid w:val="00E73F02"/>
    <w:rsid w:val="00E7409B"/>
    <w:rsid w:val="00E740E0"/>
    <w:rsid w:val="00E74726"/>
    <w:rsid w:val="00E758FE"/>
    <w:rsid w:val="00E7630A"/>
    <w:rsid w:val="00E763F8"/>
    <w:rsid w:val="00E76C5F"/>
    <w:rsid w:val="00E7769C"/>
    <w:rsid w:val="00E776D1"/>
    <w:rsid w:val="00E77892"/>
    <w:rsid w:val="00E7799C"/>
    <w:rsid w:val="00E77F42"/>
    <w:rsid w:val="00E80441"/>
    <w:rsid w:val="00E8049E"/>
    <w:rsid w:val="00E80751"/>
    <w:rsid w:val="00E80784"/>
    <w:rsid w:val="00E80AFB"/>
    <w:rsid w:val="00E813D5"/>
    <w:rsid w:val="00E81474"/>
    <w:rsid w:val="00E81EEC"/>
    <w:rsid w:val="00E82310"/>
    <w:rsid w:val="00E82591"/>
    <w:rsid w:val="00E828F7"/>
    <w:rsid w:val="00E83704"/>
    <w:rsid w:val="00E83AF3"/>
    <w:rsid w:val="00E84540"/>
    <w:rsid w:val="00E84E34"/>
    <w:rsid w:val="00E85023"/>
    <w:rsid w:val="00E86301"/>
    <w:rsid w:val="00E90108"/>
    <w:rsid w:val="00E911A4"/>
    <w:rsid w:val="00E91986"/>
    <w:rsid w:val="00E91F46"/>
    <w:rsid w:val="00E9282A"/>
    <w:rsid w:val="00E92D28"/>
    <w:rsid w:val="00E92E74"/>
    <w:rsid w:val="00E93244"/>
    <w:rsid w:val="00E9448C"/>
    <w:rsid w:val="00E946CD"/>
    <w:rsid w:val="00E949FA"/>
    <w:rsid w:val="00E9506B"/>
    <w:rsid w:val="00E9639B"/>
    <w:rsid w:val="00E9645F"/>
    <w:rsid w:val="00E96DAC"/>
    <w:rsid w:val="00E97AFE"/>
    <w:rsid w:val="00E97B9D"/>
    <w:rsid w:val="00EA1103"/>
    <w:rsid w:val="00EA13EC"/>
    <w:rsid w:val="00EA2E39"/>
    <w:rsid w:val="00EA3103"/>
    <w:rsid w:val="00EA4EE7"/>
    <w:rsid w:val="00EA619B"/>
    <w:rsid w:val="00EA67D9"/>
    <w:rsid w:val="00EA6E19"/>
    <w:rsid w:val="00EA7D03"/>
    <w:rsid w:val="00EA7D33"/>
    <w:rsid w:val="00EA7F32"/>
    <w:rsid w:val="00EB12B4"/>
    <w:rsid w:val="00EB18C3"/>
    <w:rsid w:val="00EB2125"/>
    <w:rsid w:val="00EB24BA"/>
    <w:rsid w:val="00EB2763"/>
    <w:rsid w:val="00EB351F"/>
    <w:rsid w:val="00EB3C52"/>
    <w:rsid w:val="00EB4020"/>
    <w:rsid w:val="00EB42A7"/>
    <w:rsid w:val="00EB4B04"/>
    <w:rsid w:val="00EB4C55"/>
    <w:rsid w:val="00EB6114"/>
    <w:rsid w:val="00EB6E6A"/>
    <w:rsid w:val="00EB6F93"/>
    <w:rsid w:val="00EB7B45"/>
    <w:rsid w:val="00EB7E82"/>
    <w:rsid w:val="00EC01FC"/>
    <w:rsid w:val="00EC116B"/>
    <w:rsid w:val="00EC11E4"/>
    <w:rsid w:val="00EC1938"/>
    <w:rsid w:val="00EC1BE1"/>
    <w:rsid w:val="00EC239C"/>
    <w:rsid w:val="00EC2C6B"/>
    <w:rsid w:val="00EC3568"/>
    <w:rsid w:val="00EC3CE8"/>
    <w:rsid w:val="00EC3D7B"/>
    <w:rsid w:val="00EC4BE6"/>
    <w:rsid w:val="00EC57A4"/>
    <w:rsid w:val="00EC5C3C"/>
    <w:rsid w:val="00EC68E1"/>
    <w:rsid w:val="00EC7B77"/>
    <w:rsid w:val="00EC7F26"/>
    <w:rsid w:val="00ED0643"/>
    <w:rsid w:val="00ED0C7A"/>
    <w:rsid w:val="00ED14FD"/>
    <w:rsid w:val="00ED18A6"/>
    <w:rsid w:val="00ED1C75"/>
    <w:rsid w:val="00ED1E93"/>
    <w:rsid w:val="00ED23B5"/>
    <w:rsid w:val="00ED2B27"/>
    <w:rsid w:val="00ED3862"/>
    <w:rsid w:val="00ED434C"/>
    <w:rsid w:val="00ED4677"/>
    <w:rsid w:val="00ED4870"/>
    <w:rsid w:val="00ED4F71"/>
    <w:rsid w:val="00ED57C9"/>
    <w:rsid w:val="00ED617A"/>
    <w:rsid w:val="00ED7389"/>
    <w:rsid w:val="00EE03F6"/>
    <w:rsid w:val="00EE0CE8"/>
    <w:rsid w:val="00EE1DA6"/>
    <w:rsid w:val="00EE1E36"/>
    <w:rsid w:val="00EE2496"/>
    <w:rsid w:val="00EE29FD"/>
    <w:rsid w:val="00EE2CEC"/>
    <w:rsid w:val="00EE3087"/>
    <w:rsid w:val="00EE327B"/>
    <w:rsid w:val="00EE37E8"/>
    <w:rsid w:val="00EE3827"/>
    <w:rsid w:val="00EE43FE"/>
    <w:rsid w:val="00EE4EB5"/>
    <w:rsid w:val="00EE583C"/>
    <w:rsid w:val="00EE58D0"/>
    <w:rsid w:val="00EE5B57"/>
    <w:rsid w:val="00EE68D6"/>
    <w:rsid w:val="00EE6BE3"/>
    <w:rsid w:val="00EE6EA9"/>
    <w:rsid w:val="00EE7028"/>
    <w:rsid w:val="00EE7B32"/>
    <w:rsid w:val="00EF01D8"/>
    <w:rsid w:val="00EF0743"/>
    <w:rsid w:val="00EF1BA2"/>
    <w:rsid w:val="00EF1E18"/>
    <w:rsid w:val="00EF2731"/>
    <w:rsid w:val="00EF2A12"/>
    <w:rsid w:val="00EF31CE"/>
    <w:rsid w:val="00EF3603"/>
    <w:rsid w:val="00EF459F"/>
    <w:rsid w:val="00EF54A1"/>
    <w:rsid w:val="00EF573B"/>
    <w:rsid w:val="00EF59CA"/>
    <w:rsid w:val="00EF5D48"/>
    <w:rsid w:val="00EF62AE"/>
    <w:rsid w:val="00EF6450"/>
    <w:rsid w:val="00EF6EB0"/>
    <w:rsid w:val="00EF6FC6"/>
    <w:rsid w:val="00EF7220"/>
    <w:rsid w:val="00F00746"/>
    <w:rsid w:val="00F007C7"/>
    <w:rsid w:val="00F00AC8"/>
    <w:rsid w:val="00F012F8"/>
    <w:rsid w:val="00F01526"/>
    <w:rsid w:val="00F01BAA"/>
    <w:rsid w:val="00F025D3"/>
    <w:rsid w:val="00F028F5"/>
    <w:rsid w:val="00F05671"/>
    <w:rsid w:val="00F0568F"/>
    <w:rsid w:val="00F057E5"/>
    <w:rsid w:val="00F05C63"/>
    <w:rsid w:val="00F073DE"/>
    <w:rsid w:val="00F07477"/>
    <w:rsid w:val="00F077B4"/>
    <w:rsid w:val="00F1067B"/>
    <w:rsid w:val="00F10CF4"/>
    <w:rsid w:val="00F10DE5"/>
    <w:rsid w:val="00F114DB"/>
    <w:rsid w:val="00F12074"/>
    <w:rsid w:val="00F1229F"/>
    <w:rsid w:val="00F1275C"/>
    <w:rsid w:val="00F12F2B"/>
    <w:rsid w:val="00F13054"/>
    <w:rsid w:val="00F131A2"/>
    <w:rsid w:val="00F132BE"/>
    <w:rsid w:val="00F13358"/>
    <w:rsid w:val="00F133A1"/>
    <w:rsid w:val="00F143A7"/>
    <w:rsid w:val="00F146A3"/>
    <w:rsid w:val="00F15F6A"/>
    <w:rsid w:val="00F16782"/>
    <w:rsid w:val="00F1729A"/>
    <w:rsid w:val="00F172EB"/>
    <w:rsid w:val="00F176E3"/>
    <w:rsid w:val="00F17769"/>
    <w:rsid w:val="00F17937"/>
    <w:rsid w:val="00F20148"/>
    <w:rsid w:val="00F20A0A"/>
    <w:rsid w:val="00F21542"/>
    <w:rsid w:val="00F215C6"/>
    <w:rsid w:val="00F220FF"/>
    <w:rsid w:val="00F22761"/>
    <w:rsid w:val="00F2276A"/>
    <w:rsid w:val="00F22C4D"/>
    <w:rsid w:val="00F23235"/>
    <w:rsid w:val="00F23412"/>
    <w:rsid w:val="00F23DA6"/>
    <w:rsid w:val="00F241FD"/>
    <w:rsid w:val="00F24641"/>
    <w:rsid w:val="00F247F0"/>
    <w:rsid w:val="00F24C8D"/>
    <w:rsid w:val="00F2635A"/>
    <w:rsid w:val="00F26558"/>
    <w:rsid w:val="00F27808"/>
    <w:rsid w:val="00F27963"/>
    <w:rsid w:val="00F30A20"/>
    <w:rsid w:val="00F3380F"/>
    <w:rsid w:val="00F3476A"/>
    <w:rsid w:val="00F34C3A"/>
    <w:rsid w:val="00F34CCC"/>
    <w:rsid w:val="00F35401"/>
    <w:rsid w:val="00F360C6"/>
    <w:rsid w:val="00F36930"/>
    <w:rsid w:val="00F37B20"/>
    <w:rsid w:val="00F37E0E"/>
    <w:rsid w:val="00F40BEA"/>
    <w:rsid w:val="00F40E7A"/>
    <w:rsid w:val="00F41162"/>
    <w:rsid w:val="00F411B0"/>
    <w:rsid w:val="00F415DB"/>
    <w:rsid w:val="00F41F88"/>
    <w:rsid w:val="00F421C9"/>
    <w:rsid w:val="00F423D9"/>
    <w:rsid w:val="00F42871"/>
    <w:rsid w:val="00F42BF3"/>
    <w:rsid w:val="00F42C0E"/>
    <w:rsid w:val="00F42E01"/>
    <w:rsid w:val="00F43CC2"/>
    <w:rsid w:val="00F4412A"/>
    <w:rsid w:val="00F453FB"/>
    <w:rsid w:val="00F46B77"/>
    <w:rsid w:val="00F46E79"/>
    <w:rsid w:val="00F471D9"/>
    <w:rsid w:val="00F47A11"/>
    <w:rsid w:val="00F47CB7"/>
    <w:rsid w:val="00F47E87"/>
    <w:rsid w:val="00F50DF3"/>
    <w:rsid w:val="00F52BBF"/>
    <w:rsid w:val="00F52FA0"/>
    <w:rsid w:val="00F532EC"/>
    <w:rsid w:val="00F542F9"/>
    <w:rsid w:val="00F543DB"/>
    <w:rsid w:val="00F55EAC"/>
    <w:rsid w:val="00F57061"/>
    <w:rsid w:val="00F576A2"/>
    <w:rsid w:val="00F57ACF"/>
    <w:rsid w:val="00F60BEC"/>
    <w:rsid w:val="00F60F91"/>
    <w:rsid w:val="00F61FAD"/>
    <w:rsid w:val="00F62FBE"/>
    <w:rsid w:val="00F630E0"/>
    <w:rsid w:val="00F63E6E"/>
    <w:rsid w:val="00F64105"/>
    <w:rsid w:val="00F64249"/>
    <w:rsid w:val="00F64DE1"/>
    <w:rsid w:val="00F652DA"/>
    <w:rsid w:val="00F65C47"/>
    <w:rsid w:val="00F65CB3"/>
    <w:rsid w:val="00F65DDE"/>
    <w:rsid w:val="00F674CB"/>
    <w:rsid w:val="00F67831"/>
    <w:rsid w:val="00F701D4"/>
    <w:rsid w:val="00F70D75"/>
    <w:rsid w:val="00F714AC"/>
    <w:rsid w:val="00F71D94"/>
    <w:rsid w:val="00F72928"/>
    <w:rsid w:val="00F729FA"/>
    <w:rsid w:val="00F72E75"/>
    <w:rsid w:val="00F7379B"/>
    <w:rsid w:val="00F74783"/>
    <w:rsid w:val="00F75832"/>
    <w:rsid w:val="00F76E05"/>
    <w:rsid w:val="00F77B67"/>
    <w:rsid w:val="00F8178B"/>
    <w:rsid w:val="00F81CA6"/>
    <w:rsid w:val="00F81DDF"/>
    <w:rsid w:val="00F8219C"/>
    <w:rsid w:val="00F825BB"/>
    <w:rsid w:val="00F82D56"/>
    <w:rsid w:val="00F8323A"/>
    <w:rsid w:val="00F83841"/>
    <w:rsid w:val="00F8528D"/>
    <w:rsid w:val="00F869C1"/>
    <w:rsid w:val="00F87644"/>
    <w:rsid w:val="00F908B7"/>
    <w:rsid w:val="00F90E46"/>
    <w:rsid w:val="00F9131E"/>
    <w:rsid w:val="00F9171C"/>
    <w:rsid w:val="00F91DB3"/>
    <w:rsid w:val="00F92C64"/>
    <w:rsid w:val="00F93905"/>
    <w:rsid w:val="00F9430B"/>
    <w:rsid w:val="00F948C6"/>
    <w:rsid w:val="00F95CFD"/>
    <w:rsid w:val="00F95F46"/>
    <w:rsid w:val="00F96770"/>
    <w:rsid w:val="00F973D1"/>
    <w:rsid w:val="00F976F4"/>
    <w:rsid w:val="00F97846"/>
    <w:rsid w:val="00FA0776"/>
    <w:rsid w:val="00FA1387"/>
    <w:rsid w:val="00FA1F9E"/>
    <w:rsid w:val="00FA2221"/>
    <w:rsid w:val="00FA2512"/>
    <w:rsid w:val="00FA2D58"/>
    <w:rsid w:val="00FA3957"/>
    <w:rsid w:val="00FA3C2D"/>
    <w:rsid w:val="00FA3F14"/>
    <w:rsid w:val="00FA3F2F"/>
    <w:rsid w:val="00FA62B6"/>
    <w:rsid w:val="00FA62BD"/>
    <w:rsid w:val="00FA63B4"/>
    <w:rsid w:val="00FA65CE"/>
    <w:rsid w:val="00FA69E5"/>
    <w:rsid w:val="00FA6DDC"/>
    <w:rsid w:val="00FA7392"/>
    <w:rsid w:val="00FB001F"/>
    <w:rsid w:val="00FB00D9"/>
    <w:rsid w:val="00FB0304"/>
    <w:rsid w:val="00FB09DE"/>
    <w:rsid w:val="00FB12A8"/>
    <w:rsid w:val="00FB1DF0"/>
    <w:rsid w:val="00FB1FBD"/>
    <w:rsid w:val="00FB2B65"/>
    <w:rsid w:val="00FB3415"/>
    <w:rsid w:val="00FB34D9"/>
    <w:rsid w:val="00FB383B"/>
    <w:rsid w:val="00FB38BE"/>
    <w:rsid w:val="00FB3A9A"/>
    <w:rsid w:val="00FB44B7"/>
    <w:rsid w:val="00FB457C"/>
    <w:rsid w:val="00FB4926"/>
    <w:rsid w:val="00FB4D37"/>
    <w:rsid w:val="00FB5131"/>
    <w:rsid w:val="00FB635C"/>
    <w:rsid w:val="00FB64CB"/>
    <w:rsid w:val="00FB6FA2"/>
    <w:rsid w:val="00FB7AAF"/>
    <w:rsid w:val="00FB7EC5"/>
    <w:rsid w:val="00FC0670"/>
    <w:rsid w:val="00FC0CCB"/>
    <w:rsid w:val="00FC116E"/>
    <w:rsid w:val="00FC16B1"/>
    <w:rsid w:val="00FC1D51"/>
    <w:rsid w:val="00FC2ABE"/>
    <w:rsid w:val="00FC34E0"/>
    <w:rsid w:val="00FC3641"/>
    <w:rsid w:val="00FC379E"/>
    <w:rsid w:val="00FC3A11"/>
    <w:rsid w:val="00FC3AC0"/>
    <w:rsid w:val="00FC41AE"/>
    <w:rsid w:val="00FC46CA"/>
    <w:rsid w:val="00FC5CC0"/>
    <w:rsid w:val="00FC6898"/>
    <w:rsid w:val="00FC6C72"/>
    <w:rsid w:val="00FC73C5"/>
    <w:rsid w:val="00FC74D8"/>
    <w:rsid w:val="00FD0680"/>
    <w:rsid w:val="00FD0772"/>
    <w:rsid w:val="00FD11A2"/>
    <w:rsid w:val="00FD1726"/>
    <w:rsid w:val="00FD17BD"/>
    <w:rsid w:val="00FD2C20"/>
    <w:rsid w:val="00FD41BB"/>
    <w:rsid w:val="00FD4C04"/>
    <w:rsid w:val="00FD4E39"/>
    <w:rsid w:val="00FD58C6"/>
    <w:rsid w:val="00FD5EAB"/>
    <w:rsid w:val="00FD7B0A"/>
    <w:rsid w:val="00FE06D9"/>
    <w:rsid w:val="00FE119C"/>
    <w:rsid w:val="00FE1A16"/>
    <w:rsid w:val="00FE2F32"/>
    <w:rsid w:val="00FE3B5B"/>
    <w:rsid w:val="00FE4065"/>
    <w:rsid w:val="00FE4D13"/>
    <w:rsid w:val="00FE5445"/>
    <w:rsid w:val="00FE600D"/>
    <w:rsid w:val="00FE694A"/>
    <w:rsid w:val="00FE70F1"/>
    <w:rsid w:val="00FE71FC"/>
    <w:rsid w:val="00FE741F"/>
    <w:rsid w:val="00FF1134"/>
    <w:rsid w:val="00FF16B6"/>
    <w:rsid w:val="00FF2CB5"/>
    <w:rsid w:val="00FF2CD2"/>
    <w:rsid w:val="00FF3600"/>
    <w:rsid w:val="00FF453F"/>
    <w:rsid w:val="00FF4B44"/>
    <w:rsid w:val="00FF4D4D"/>
    <w:rsid w:val="00FF52C2"/>
    <w:rsid w:val="00FF5325"/>
    <w:rsid w:val="00FF547D"/>
    <w:rsid w:val="00FF56BD"/>
    <w:rsid w:val="00FF5ACB"/>
    <w:rsid w:val="00FF5E57"/>
    <w:rsid w:val="00FF6A99"/>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cfc"/>
    </o:shapedefaults>
    <o:shapelayout v:ext="edit">
      <o:idmap v:ext="edit" data="1"/>
    </o:shapelayout>
  </w:shapeDefaults>
  <w:decimalSymbol w:val=","/>
  <w:listSeparator w:val=";"/>
  <w14:docId w14:val="256E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Testo"/>
    <w:qFormat/>
    <w:rsid w:val="00893BFC"/>
    <w:pPr>
      <w:ind w:firstLine="454"/>
      <w:jc w:val="both"/>
    </w:pPr>
    <w:rPr>
      <w:rFonts w:ascii="Times New Roman" w:hAnsi="Times New Roman"/>
    </w:rPr>
  </w:style>
  <w:style w:type="paragraph" w:styleId="Titolo1">
    <w:name w:val="heading 1"/>
    <w:basedOn w:val="Normale"/>
    <w:next w:val="Normale"/>
    <w:link w:val="Titolo1Carattere"/>
    <w:uiPriority w:val="9"/>
    <w:qFormat/>
    <w:rsid w:val="009125BC"/>
    <w:pPr>
      <w:keepNext/>
      <w:keepLines/>
      <w:spacing w:before="480" w:after="480"/>
      <w:ind w:firstLine="0"/>
      <w:outlineLvl w:val="0"/>
    </w:pPr>
    <w:rPr>
      <w:rFonts w:eastAsiaTheme="majorEastAsia" w:cs="Times New Roman"/>
      <w:b/>
      <w:bCs/>
      <w:smallCaps/>
      <w:sz w:val="32"/>
      <w:szCs w:val="32"/>
    </w:rPr>
  </w:style>
  <w:style w:type="paragraph" w:styleId="Titolo2">
    <w:name w:val="heading 2"/>
    <w:basedOn w:val="Normale"/>
    <w:next w:val="Normale"/>
    <w:link w:val="Titolo2Carattere"/>
    <w:uiPriority w:val="9"/>
    <w:unhideWhenUsed/>
    <w:qFormat/>
    <w:rsid w:val="00AA125E"/>
    <w:pPr>
      <w:keepNext/>
      <w:keepLines/>
      <w:numPr>
        <w:ilvl w:val="1"/>
        <w:numId w:val="43"/>
      </w:numPr>
      <w:spacing w:before="720" w:after="240"/>
      <w:outlineLvl w:val="1"/>
    </w:pPr>
    <w:rPr>
      <w:rFonts w:eastAsiaTheme="majorEastAsia" w:cs="Times New Roman"/>
      <w:b/>
      <w:bCs/>
      <w:sz w:val="26"/>
      <w:szCs w:val="26"/>
    </w:rPr>
  </w:style>
  <w:style w:type="paragraph" w:styleId="Titolo3">
    <w:name w:val="heading 3"/>
    <w:basedOn w:val="Normale"/>
    <w:next w:val="Normale"/>
    <w:link w:val="Titolo3Carattere"/>
    <w:uiPriority w:val="9"/>
    <w:unhideWhenUsed/>
    <w:qFormat/>
    <w:rsid w:val="00F133A1"/>
    <w:pPr>
      <w:keepNext/>
      <w:keepLines/>
      <w:spacing w:before="200"/>
      <w:outlineLvl w:val="2"/>
    </w:pPr>
    <w:rPr>
      <w:rFonts w:eastAsiaTheme="majorEastAsia" w:cs="Times New Roman"/>
      <w:bCs/>
      <w:i/>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rsid w:val="00D4243C"/>
    <w:pPr>
      <w:ind w:left="720"/>
      <w:contextualSpacing/>
    </w:pPr>
  </w:style>
  <w:style w:type="paragraph" w:styleId="Intestazione">
    <w:name w:val="header"/>
    <w:basedOn w:val="Normale"/>
    <w:link w:val="IntestazioneCarattere"/>
    <w:uiPriority w:val="99"/>
    <w:unhideWhenUsed/>
    <w:rsid w:val="00AA4182"/>
    <w:pPr>
      <w:tabs>
        <w:tab w:val="center" w:pos="4819"/>
        <w:tab w:val="right" w:pos="9638"/>
      </w:tabs>
    </w:pPr>
  </w:style>
  <w:style w:type="character" w:customStyle="1" w:styleId="IntestazioneCarattere">
    <w:name w:val="Intestazione Carattere"/>
    <w:basedOn w:val="Caratterepredefinitoparagrafo"/>
    <w:link w:val="Intestazione"/>
    <w:uiPriority w:val="99"/>
    <w:rsid w:val="00AA4182"/>
  </w:style>
  <w:style w:type="paragraph" w:styleId="Pidipagina">
    <w:name w:val="footer"/>
    <w:basedOn w:val="Normale"/>
    <w:link w:val="PidipaginaCarattere"/>
    <w:uiPriority w:val="99"/>
    <w:unhideWhenUsed/>
    <w:rsid w:val="00AA4182"/>
    <w:pPr>
      <w:tabs>
        <w:tab w:val="center" w:pos="4819"/>
        <w:tab w:val="right" w:pos="9638"/>
      </w:tabs>
    </w:pPr>
  </w:style>
  <w:style w:type="character" w:customStyle="1" w:styleId="PidipaginaCarattere">
    <w:name w:val="Piè di pagina Carattere"/>
    <w:basedOn w:val="Caratterepredefinitoparagrafo"/>
    <w:link w:val="Pidipagina"/>
    <w:uiPriority w:val="99"/>
    <w:rsid w:val="00AA4182"/>
  </w:style>
  <w:style w:type="character" w:styleId="Collegamentoipertestuale">
    <w:name w:val="Hyperlink"/>
    <w:basedOn w:val="Caratterepredefinitoparagrafo"/>
    <w:uiPriority w:val="99"/>
    <w:unhideWhenUsed/>
    <w:rsid w:val="00E80AFB"/>
    <w:rPr>
      <w:color w:val="D2D200" w:themeColor="hyperlink"/>
      <w:u w:val="single"/>
    </w:rPr>
  </w:style>
  <w:style w:type="paragraph" w:styleId="Testonotaapidipagina">
    <w:name w:val="footnote text"/>
    <w:basedOn w:val="Normale"/>
    <w:link w:val="TestonotaapidipaginaCarattere"/>
    <w:uiPriority w:val="99"/>
    <w:unhideWhenUsed/>
    <w:rsid w:val="00D96213"/>
    <w:pPr>
      <w:ind w:firstLine="567"/>
    </w:pPr>
    <w:rPr>
      <w:rFonts w:cs="Times New Roman"/>
      <w:sz w:val="20"/>
      <w:szCs w:val="20"/>
    </w:rPr>
  </w:style>
  <w:style w:type="character" w:customStyle="1" w:styleId="TestonotaapidipaginaCarattere">
    <w:name w:val="Testo nota a piè di pagina Carattere"/>
    <w:basedOn w:val="Caratterepredefinitoparagrafo"/>
    <w:link w:val="Testonotaapidipagina"/>
    <w:uiPriority w:val="99"/>
    <w:rsid w:val="00D96213"/>
    <w:rPr>
      <w:rFonts w:ascii="Times New Roman" w:hAnsi="Times New Roman" w:cs="Times New Roman"/>
      <w:sz w:val="20"/>
      <w:szCs w:val="20"/>
    </w:rPr>
  </w:style>
  <w:style w:type="character" w:styleId="Rimandonotaapidipagina">
    <w:name w:val="footnote reference"/>
    <w:basedOn w:val="Caratterepredefinitoparagrafo"/>
    <w:uiPriority w:val="99"/>
    <w:unhideWhenUsed/>
    <w:rsid w:val="003B2F39"/>
    <w:rPr>
      <w:vertAlign w:val="superscript"/>
    </w:rPr>
  </w:style>
  <w:style w:type="character" w:styleId="Numeropagina">
    <w:name w:val="page number"/>
    <w:basedOn w:val="Caratterepredefinitoparagrafo"/>
    <w:uiPriority w:val="99"/>
    <w:semiHidden/>
    <w:unhideWhenUsed/>
    <w:rsid w:val="003B2F39"/>
  </w:style>
  <w:style w:type="paragraph" w:styleId="Testofumetto">
    <w:name w:val="Balloon Text"/>
    <w:basedOn w:val="Normale"/>
    <w:link w:val="TestofumettoCarattere"/>
    <w:uiPriority w:val="99"/>
    <w:semiHidden/>
    <w:unhideWhenUsed/>
    <w:rsid w:val="00DE49A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E49AA"/>
    <w:rPr>
      <w:rFonts w:ascii="Lucida Grande" w:hAnsi="Lucida Grande" w:cs="Lucida Grande"/>
      <w:sz w:val="18"/>
      <w:szCs w:val="18"/>
    </w:rPr>
  </w:style>
  <w:style w:type="paragraph" w:styleId="Sommario1">
    <w:name w:val="toc 1"/>
    <w:basedOn w:val="Normale"/>
    <w:next w:val="Normale"/>
    <w:autoRedefine/>
    <w:uiPriority w:val="39"/>
    <w:unhideWhenUsed/>
    <w:rsid w:val="00E2643E"/>
    <w:pPr>
      <w:tabs>
        <w:tab w:val="right" w:pos="9622"/>
      </w:tabs>
      <w:spacing w:before="100" w:beforeAutospacing="1" w:line="480" w:lineRule="auto"/>
      <w:ind w:firstLine="0"/>
      <w:jc w:val="center"/>
    </w:pPr>
    <w:rPr>
      <w:b/>
      <w:sz w:val="28"/>
      <w:szCs w:val="22"/>
    </w:rPr>
  </w:style>
  <w:style w:type="paragraph" w:styleId="Sommario2">
    <w:name w:val="toc 2"/>
    <w:basedOn w:val="Normale"/>
    <w:next w:val="Normale"/>
    <w:autoRedefine/>
    <w:uiPriority w:val="39"/>
    <w:unhideWhenUsed/>
    <w:rsid w:val="00AE2802"/>
    <w:pPr>
      <w:tabs>
        <w:tab w:val="right" w:pos="9622"/>
      </w:tabs>
      <w:spacing w:before="120" w:line="480" w:lineRule="auto"/>
      <w:ind w:left="238"/>
    </w:pPr>
    <w:rPr>
      <w:i/>
      <w:sz w:val="28"/>
      <w:szCs w:val="22"/>
    </w:rPr>
  </w:style>
  <w:style w:type="paragraph" w:styleId="Sommario3">
    <w:name w:val="toc 3"/>
    <w:basedOn w:val="Normale"/>
    <w:next w:val="Normale"/>
    <w:autoRedefine/>
    <w:uiPriority w:val="39"/>
    <w:unhideWhenUsed/>
    <w:rsid w:val="001A6F11"/>
    <w:pPr>
      <w:ind w:left="480"/>
    </w:pPr>
    <w:rPr>
      <w:szCs w:val="22"/>
    </w:rPr>
  </w:style>
  <w:style w:type="paragraph" w:styleId="Sommario4">
    <w:name w:val="toc 4"/>
    <w:basedOn w:val="Normale"/>
    <w:next w:val="Normale"/>
    <w:autoRedefine/>
    <w:uiPriority w:val="39"/>
    <w:unhideWhenUsed/>
    <w:rsid w:val="007B1991"/>
    <w:pPr>
      <w:ind w:left="720"/>
    </w:pPr>
    <w:rPr>
      <w:sz w:val="20"/>
      <w:szCs w:val="20"/>
    </w:rPr>
  </w:style>
  <w:style w:type="paragraph" w:styleId="Sommario5">
    <w:name w:val="toc 5"/>
    <w:basedOn w:val="Normale"/>
    <w:next w:val="Normale"/>
    <w:autoRedefine/>
    <w:uiPriority w:val="39"/>
    <w:unhideWhenUsed/>
    <w:rsid w:val="007B1991"/>
    <w:pPr>
      <w:ind w:left="960"/>
    </w:pPr>
    <w:rPr>
      <w:sz w:val="20"/>
      <w:szCs w:val="20"/>
    </w:rPr>
  </w:style>
  <w:style w:type="paragraph" w:styleId="Sommario6">
    <w:name w:val="toc 6"/>
    <w:basedOn w:val="Normale"/>
    <w:next w:val="Normale"/>
    <w:autoRedefine/>
    <w:uiPriority w:val="39"/>
    <w:unhideWhenUsed/>
    <w:rsid w:val="007B1991"/>
    <w:pPr>
      <w:ind w:left="1200"/>
    </w:pPr>
    <w:rPr>
      <w:sz w:val="20"/>
      <w:szCs w:val="20"/>
    </w:rPr>
  </w:style>
  <w:style w:type="paragraph" w:styleId="Sommario7">
    <w:name w:val="toc 7"/>
    <w:basedOn w:val="Normale"/>
    <w:next w:val="Normale"/>
    <w:autoRedefine/>
    <w:uiPriority w:val="39"/>
    <w:unhideWhenUsed/>
    <w:rsid w:val="007B1991"/>
    <w:pPr>
      <w:ind w:left="1440"/>
    </w:pPr>
    <w:rPr>
      <w:sz w:val="20"/>
      <w:szCs w:val="20"/>
    </w:rPr>
  </w:style>
  <w:style w:type="paragraph" w:styleId="Sommario8">
    <w:name w:val="toc 8"/>
    <w:basedOn w:val="Normale"/>
    <w:next w:val="Normale"/>
    <w:autoRedefine/>
    <w:uiPriority w:val="39"/>
    <w:unhideWhenUsed/>
    <w:rsid w:val="007B1991"/>
    <w:pPr>
      <w:ind w:left="1680"/>
    </w:pPr>
    <w:rPr>
      <w:sz w:val="20"/>
      <w:szCs w:val="20"/>
    </w:rPr>
  </w:style>
  <w:style w:type="paragraph" w:styleId="Sommario9">
    <w:name w:val="toc 9"/>
    <w:basedOn w:val="Normale"/>
    <w:next w:val="Normale"/>
    <w:autoRedefine/>
    <w:uiPriority w:val="39"/>
    <w:unhideWhenUsed/>
    <w:rsid w:val="007B1991"/>
    <w:pPr>
      <w:ind w:left="1920"/>
    </w:pPr>
    <w:rPr>
      <w:sz w:val="20"/>
      <w:szCs w:val="20"/>
    </w:rPr>
  </w:style>
  <w:style w:type="paragraph" w:styleId="Indice1">
    <w:name w:val="index 1"/>
    <w:basedOn w:val="Normale"/>
    <w:next w:val="Normale"/>
    <w:autoRedefine/>
    <w:uiPriority w:val="99"/>
    <w:unhideWhenUsed/>
    <w:rsid w:val="007B1991"/>
    <w:pPr>
      <w:ind w:left="240" w:hanging="240"/>
    </w:pPr>
  </w:style>
  <w:style w:type="paragraph" w:styleId="Indice2">
    <w:name w:val="index 2"/>
    <w:basedOn w:val="Normale"/>
    <w:next w:val="Normale"/>
    <w:autoRedefine/>
    <w:uiPriority w:val="99"/>
    <w:unhideWhenUsed/>
    <w:rsid w:val="007B1991"/>
    <w:pPr>
      <w:ind w:left="480" w:hanging="240"/>
    </w:pPr>
  </w:style>
  <w:style w:type="paragraph" w:styleId="Indice3">
    <w:name w:val="index 3"/>
    <w:basedOn w:val="Normale"/>
    <w:next w:val="Normale"/>
    <w:autoRedefine/>
    <w:uiPriority w:val="99"/>
    <w:unhideWhenUsed/>
    <w:rsid w:val="007B1991"/>
    <w:pPr>
      <w:ind w:left="720" w:hanging="240"/>
    </w:pPr>
  </w:style>
  <w:style w:type="paragraph" w:styleId="Indice4">
    <w:name w:val="index 4"/>
    <w:basedOn w:val="Normale"/>
    <w:next w:val="Normale"/>
    <w:autoRedefine/>
    <w:uiPriority w:val="99"/>
    <w:unhideWhenUsed/>
    <w:rsid w:val="007B1991"/>
    <w:pPr>
      <w:ind w:left="960" w:hanging="240"/>
    </w:pPr>
  </w:style>
  <w:style w:type="paragraph" w:styleId="Indice5">
    <w:name w:val="index 5"/>
    <w:basedOn w:val="Normale"/>
    <w:next w:val="Normale"/>
    <w:autoRedefine/>
    <w:uiPriority w:val="99"/>
    <w:unhideWhenUsed/>
    <w:rsid w:val="007B1991"/>
    <w:pPr>
      <w:ind w:left="1200" w:hanging="240"/>
    </w:pPr>
  </w:style>
  <w:style w:type="paragraph" w:styleId="Indice6">
    <w:name w:val="index 6"/>
    <w:basedOn w:val="Normale"/>
    <w:next w:val="Normale"/>
    <w:autoRedefine/>
    <w:uiPriority w:val="99"/>
    <w:unhideWhenUsed/>
    <w:rsid w:val="007B1991"/>
    <w:pPr>
      <w:ind w:left="1440" w:hanging="240"/>
    </w:pPr>
  </w:style>
  <w:style w:type="paragraph" w:styleId="Indice7">
    <w:name w:val="index 7"/>
    <w:basedOn w:val="Normale"/>
    <w:next w:val="Normale"/>
    <w:autoRedefine/>
    <w:uiPriority w:val="99"/>
    <w:unhideWhenUsed/>
    <w:rsid w:val="007B1991"/>
    <w:pPr>
      <w:ind w:left="1680" w:hanging="240"/>
    </w:pPr>
  </w:style>
  <w:style w:type="paragraph" w:styleId="Indice8">
    <w:name w:val="index 8"/>
    <w:basedOn w:val="Normale"/>
    <w:next w:val="Normale"/>
    <w:autoRedefine/>
    <w:uiPriority w:val="99"/>
    <w:unhideWhenUsed/>
    <w:rsid w:val="007B1991"/>
    <w:pPr>
      <w:ind w:left="1920" w:hanging="240"/>
    </w:pPr>
  </w:style>
  <w:style w:type="paragraph" w:styleId="Indice9">
    <w:name w:val="index 9"/>
    <w:basedOn w:val="Normale"/>
    <w:next w:val="Normale"/>
    <w:autoRedefine/>
    <w:uiPriority w:val="99"/>
    <w:unhideWhenUsed/>
    <w:rsid w:val="007B1991"/>
    <w:pPr>
      <w:ind w:left="2160" w:hanging="240"/>
    </w:pPr>
  </w:style>
  <w:style w:type="paragraph" w:styleId="Titoloindice">
    <w:name w:val="index heading"/>
    <w:basedOn w:val="Normale"/>
    <w:next w:val="Indice1"/>
    <w:uiPriority w:val="99"/>
    <w:unhideWhenUsed/>
    <w:rsid w:val="007B1991"/>
  </w:style>
  <w:style w:type="character" w:customStyle="1" w:styleId="Titolo1Carattere">
    <w:name w:val="Titolo 1 Carattere"/>
    <w:basedOn w:val="Caratterepredefinitoparagrafo"/>
    <w:link w:val="Titolo1"/>
    <w:uiPriority w:val="9"/>
    <w:rsid w:val="009125BC"/>
    <w:rPr>
      <w:rFonts w:ascii="Times New Roman" w:eastAsiaTheme="majorEastAsia" w:hAnsi="Times New Roman" w:cs="Times New Roman"/>
      <w:b/>
      <w:bCs/>
      <w:smallCaps/>
      <w:sz w:val="32"/>
      <w:szCs w:val="32"/>
    </w:rPr>
  </w:style>
  <w:style w:type="paragraph" w:styleId="Titolosommario">
    <w:name w:val="TOC Heading"/>
    <w:basedOn w:val="Titolo1"/>
    <w:next w:val="Normale"/>
    <w:uiPriority w:val="39"/>
    <w:unhideWhenUsed/>
    <w:qFormat/>
    <w:rsid w:val="00630033"/>
    <w:pPr>
      <w:spacing w:line="276" w:lineRule="auto"/>
      <w:outlineLvl w:val="9"/>
    </w:pPr>
    <w:rPr>
      <w:sz w:val="28"/>
      <w:szCs w:val="28"/>
    </w:rPr>
  </w:style>
  <w:style w:type="character" w:customStyle="1" w:styleId="Titolo2Carattere">
    <w:name w:val="Titolo 2 Carattere"/>
    <w:basedOn w:val="Caratterepredefinitoparagrafo"/>
    <w:link w:val="Titolo2"/>
    <w:uiPriority w:val="9"/>
    <w:rsid w:val="00AA125E"/>
    <w:rPr>
      <w:rFonts w:ascii="Times New Roman" w:eastAsiaTheme="majorEastAsia" w:hAnsi="Times New Roman" w:cs="Times New Roman"/>
      <w:b/>
      <w:bCs/>
      <w:sz w:val="26"/>
      <w:szCs w:val="26"/>
    </w:rPr>
  </w:style>
  <w:style w:type="character" w:customStyle="1" w:styleId="Titolo3Carattere">
    <w:name w:val="Titolo 3 Carattere"/>
    <w:basedOn w:val="Caratterepredefinitoparagrafo"/>
    <w:link w:val="Titolo3"/>
    <w:uiPriority w:val="9"/>
    <w:rsid w:val="00F133A1"/>
    <w:rPr>
      <w:rFonts w:ascii="Times New Roman" w:eastAsiaTheme="majorEastAsia" w:hAnsi="Times New Roman" w:cs="Times New Roman"/>
      <w:bCs/>
      <w:i/>
    </w:rPr>
  </w:style>
  <w:style w:type="character" w:styleId="Rimandocommento">
    <w:name w:val="annotation reference"/>
    <w:basedOn w:val="Caratterepredefinitoparagrafo"/>
    <w:uiPriority w:val="99"/>
    <w:semiHidden/>
    <w:unhideWhenUsed/>
    <w:rsid w:val="00C77D80"/>
    <w:rPr>
      <w:sz w:val="18"/>
      <w:szCs w:val="18"/>
    </w:rPr>
  </w:style>
  <w:style w:type="paragraph" w:styleId="Testocommento">
    <w:name w:val="annotation text"/>
    <w:basedOn w:val="Normale"/>
    <w:link w:val="TestocommentoCarattere"/>
    <w:uiPriority w:val="99"/>
    <w:semiHidden/>
    <w:unhideWhenUsed/>
    <w:rsid w:val="00C77D80"/>
  </w:style>
  <w:style w:type="character" w:customStyle="1" w:styleId="TestocommentoCarattere">
    <w:name w:val="Testo commento Carattere"/>
    <w:basedOn w:val="Caratterepredefinitoparagrafo"/>
    <w:link w:val="Testocommento"/>
    <w:uiPriority w:val="99"/>
    <w:semiHidden/>
    <w:rsid w:val="00C77D80"/>
  </w:style>
  <w:style w:type="paragraph" w:styleId="Soggettocommento">
    <w:name w:val="annotation subject"/>
    <w:basedOn w:val="Testocommento"/>
    <w:next w:val="Testocommento"/>
    <w:link w:val="SoggettocommentoCarattere"/>
    <w:uiPriority w:val="99"/>
    <w:semiHidden/>
    <w:unhideWhenUsed/>
    <w:rsid w:val="00C77D80"/>
    <w:rPr>
      <w:b/>
      <w:bCs/>
      <w:sz w:val="20"/>
      <w:szCs w:val="20"/>
    </w:rPr>
  </w:style>
  <w:style w:type="character" w:customStyle="1" w:styleId="SoggettocommentoCarattere">
    <w:name w:val="Soggetto commento Carattere"/>
    <w:basedOn w:val="TestocommentoCarattere"/>
    <w:link w:val="Soggettocommento"/>
    <w:uiPriority w:val="99"/>
    <w:semiHidden/>
    <w:rsid w:val="00C77D80"/>
    <w:rPr>
      <w:b/>
      <w:bCs/>
      <w:sz w:val="20"/>
      <w:szCs w:val="20"/>
    </w:rPr>
  </w:style>
  <w:style w:type="paragraph" w:styleId="Testonotadichiusura">
    <w:name w:val="endnote text"/>
    <w:basedOn w:val="Normale"/>
    <w:link w:val="TestonotadichiusuraCarattere"/>
    <w:uiPriority w:val="99"/>
    <w:unhideWhenUsed/>
    <w:rsid w:val="001E3885"/>
  </w:style>
  <w:style w:type="character" w:customStyle="1" w:styleId="TestonotadichiusuraCarattere">
    <w:name w:val="Testo nota di chiusura Carattere"/>
    <w:basedOn w:val="Caratterepredefinitoparagrafo"/>
    <w:link w:val="Testonotadichiusura"/>
    <w:uiPriority w:val="99"/>
    <w:rsid w:val="001E3885"/>
  </w:style>
  <w:style w:type="character" w:styleId="Rimandonotadichiusura">
    <w:name w:val="endnote reference"/>
    <w:basedOn w:val="Caratterepredefinitoparagrafo"/>
    <w:uiPriority w:val="99"/>
    <w:unhideWhenUsed/>
    <w:rsid w:val="001E3885"/>
    <w:rPr>
      <w:vertAlign w:val="superscript"/>
    </w:rPr>
  </w:style>
  <w:style w:type="character" w:styleId="Enfasidelicata">
    <w:name w:val="Subtle Emphasis"/>
    <w:aliases w:val="Nota a piè di pagina"/>
    <w:uiPriority w:val="19"/>
    <w:qFormat/>
    <w:rsid w:val="00893BFC"/>
    <w:rPr>
      <w:rFonts w:ascii="Times New Roman" w:hAnsi="Times New Roman"/>
      <w:sz w:val="20"/>
      <w:szCs w:val="20"/>
      <w:u w:val="none"/>
    </w:rPr>
  </w:style>
  <w:style w:type="paragraph" w:customStyle="1" w:styleId="Default">
    <w:name w:val="Default"/>
    <w:rsid w:val="003632C9"/>
    <w:pPr>
      <w:widowControl w:val="0"/>
      <w:autoSpaceDE w:val="0"/>
      <w:autoSpaceDN w:val="0"/>
      <w:adjustRightInd w:val="0"/>
    </w:pPr>
    <w:rPr>
      <w:rFonts w:ascii="EUAlbertina" w:hAnsi="EUAlbertina" w:cs="EUAlbertina"/>
      <w:color w:val="000000"/>
    </w:rPr>
  </w:style>
  <w:style w:type="paragraph" w:customStyle="1" w:styleId="CM1">
    <w:name w:val="CM1"/>
    <w:basedOn w:val="Default"/>
    <w:next w:val="Default"/>
    <w:uiPriority w:val="99"/>
    <w:rsid w:val="003632C9"/>
    <w:rPr>
      <w:rFonts w:cs="Times New Roman"/>
      <w:color w:val="auto"/>
    </w:rPr>
  </w:style>
  <w:style w:type="paragraph" w:customStyle="1" w:styleId="CM3">
    <w:name w:val="CM3"/>
    <w:basedOn w:val="Default"/>
    <w:next w:val="Default"/>
    <w:uiPriority w:val="99"/>
    <w:rsid w:val="003632C9"/>
    <w:rPr>
      <w:rFonts w:cs="Times New Roman"/>
      <w:color w:val="auto"/>
    </w:rPr>
  </w:style>
  <w:style w:type="character" w:styleId="Collegamentovisitato">
    <w:name w:val="FollowedHyperlink"/>
    <w:basedOn w:val="Caratterepredefinitoparagrafo"/>
    <w:uiPriority w:val="99"/>
    <w:semiHidden/>
    <w:unhideWhenUsed/>
    <w:rsid w:val="004D3978"/>
    <w:rPr>
      <w:color w:val="D0B9F8" w:themeColor="followedHyperlink"/>
      <w:u w:val="single"/>
    </w:rPr>
  </w:style>
  <w:style w:type="paragraph" w:styleId="Revisione">
    <w:name w:val="Revision"/>
    <w:hidden/>
    <w:uiPriority w:val="99"/>
    <w:semiHidden/>
    <w:rsid w:val="00872B36"/>
    <w:rPr>
      <w:rFonts w:ascii="Times New Roman" w:hAnsi="Times New Roman"/>
    </w:rPr>
  </w:style>
  <w:style w:type="paragraph" w:styleId="Mappadocumento">
    <w:name w:val="Document Map"/>
    <w:basedOn w:val="Normale"/>
    <w:link w:val="MappadocumentoCarattere"/>
    <w:uiPriority w:val="99"/>
    <w:semiHidden/>
    <w:unhideWhenUsed/>
    <w:rsid w:val="00872B36"/>
    <w:rPr>
      <w:rFonts w:ascii="Lucida Grande" w:hAnsi="Lucida Grande" w:cs="Lucida Grande"/>
    </w:rPr>
  </w:style>
  <w:style w:type="character" w:customStyle="1" w:styleId="MappadocumentoCarattere">
    <w:name w:val="Mappa documento Carattere"/>
    <w:basedOn w:val="Caratterepredefinitoparagrafo"/>
    <w:link w:val="Mappadocumento"/>
    <w:uiPriority w:val="99"/>
    <w:semiHidden/>
    <w:rsid w:val="00872B36"/>
    <w:rPr>
      <w:rFonts w:ascii="Lucida Grande" w:hAnsi="Lucida Grande" w:cs="Lucida Grande"/>
    </w:rPr>
  </w:style>
  <w:style w:type="character" w:customStyle="1" w:styleId="apple-converted-space">
    <w:name w:val="apple-converted-space"/>
    <w:basedOn w:val="Caratterepredefinitoparagrafo"/>
    <w:rsid w:val="0069666D"/>
  </w:style>
  <w:style w:type="paragraph" w:styleId="NormaleWeb">
    <w:name w:val="Normal (Web)"/>
    <w:basedOn w:val="Normale"/>
    <w:uiPriority w:val="99"/>
    <w:unhideWhenUsed/>
    <w:rsid w:val="004E5A1B"/>
    <w:pPr>
      <w:spacing w:before="100" w:beforeAutospacing="1" w:after="100" w:afterAutospacing="1"/>
      <w:jc w:val="left"/>
    </w:pPr>
    <w:rPr>
      <w:rFonts w:ascii="Times" w:hAnsi="Times" w:cs="Times New Roman"/>
      <w:sz w:val="20"/>
      <w:szCs w:val="20"/>
      <w:lang w:val="en-US"/>
    </w:rPr>
  </w:style>
  <w:style w:type="paragraph" w:customStyle="1" w:styleId="Note">
    <w:name w:val="Note"/>
    <w:basedOn w:val="Normale"/>
    <w:link w:val="NoteCarattere"/>
    <w:qFormat/>
    <w:rsid w:val="004F27FA"/>
    <w:pPr>
      <w:autoSpaceDE w:val="0"/>
      <w:autoSpaceDN w:val="0"/>
      <w:adjustRightInd w:val="0"/>
    </w:pPr>
    <w:rPr>
      <w:rFonts w:cs="Times New Roman"/>
      <w:sz w:val="20"/>
      <w:szCs w:val="20"/>
    </w:rPr>
  </w:style>
  <w:style w:type="character" w:customStyle="1" w:styleId="NoteCarattere">
    <w:name w:val="Note Carattere"/>
    <w:basedOn w:val="Caratterepredefinitoparagrafo"/>
    <w:link w:val="Note"/>
    <w:rsid w:val="004F27FA"/>
    <w:rPr>
      <w:rFonts w:ascii="Times New Roman" w:hAnsi="Times New Roman" w:cs="Times New Roman"/>
      <w:sz w:val="20"/>
      <w:szCs w:val="20"/>
    </w:rPr>
  </w:style>
  <w:style w:type="character" w:customStyle="1" w:styleId="postbox-detected-content">
    <w:name w:val="__postbox-detected-content"/>
    <w:basedOn w:val="Caratterepredefinitoparagrafo"/>
    <w:rsid w:val="004B6C2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Testo"/>
    <w:qFormat/>
    <w:rsid w:val="00893BFC"/>
    <w:pPr>
      <w:ind w:firstLine="454"/>
      <w:jc w:val="both"/>
    </w:pPr>
    <w:rPr>
      <w:rFonts w:ascii="Times New Roman" w:hAnsi="Times New Roman"/>
    </w:rPr>
  </w:style>
  <w:style w:type="paragraph" w:styleId="Titolo1">
    <w:name w:val="heading 1"/>
    <w:basedOn w:val="Normale"/>
    <w:next w:val="Normale"/>
    <w:link w:val="Titolo1Carattere"/>
    <w:uiPriority w:val="9"/>
    <w:qFormat/>
    <w:rsid w:val="009125BC"/>
    <w:pPr>
      <w:keepNext/>
      <w:keepLines/>
      <w:spacing w:before="480" w:after="480"/>
      <w:ind w:firstLine="0"/>
      <w:outlineLvl w:val="0"/>
    </w:pPr>
    <w:rPr>
      <w:rFonts w:eastAsiaTheme="majorEastAsia" w:cs="Times New Roman"/>
      <w:b/>
      <w:bCs/>
      <w:smallCaps/>
      <w:sz w:val="32"/>
      <w:szCs w:val="32"/>
    </w:rPr>
  </w:style>
  <w:style w:type="paragraph" w:styleId="Titolo2">
    <w:name w:val="heading 2"/>
    <w:basedOn w:val="Normale"/>
    <w:next w:val="Normale"/>
    <w:link w:val="Titolo2Carattere"/>
    <w:uiPriority w:val="9"/>
    <w:unhideWhenUsed/>
    <w:qFormat/>
    <w:rsid w:val="00AA125E"/>
    <w:pPr>
      <w:keepNext/>
      <w:keepLines/>
      <w:numPr>
        <w:ilvl w:val="1"/>
        <w:numId w:val="43"/>
      </w:numPr>
      <w:spacing w:before="720" w:after="240"/>
      <w:outlineLvl w:val="1"/>
    </w:pPr>
    <w:rPr>
      <w:rFonts w:eastAsiaTheme="majorEastAsia" w:cs="Times New Roman"/>
      <w:b/>
      <w:bCs/>
      <w:sz w:val="26"/>
      <w:szCs w:val="26"/>
    </w:rPr>
  </w:style>
  <w:style w:type="paragraph" w:styleId="Titolo3">
    <w:name w:val="heading 3"/>
    <w:basedOn w:val="Normale"/>
    <w:next w:val="Normale"/>
    <w:link w:val="Titolo3Carattere"/>
    <w:uiPriority w:val="9"/>
    <w:unhideWhenUsed/>
    <w:qFormat/>
    <w:rsid w:val="00F133A1"/>
    <w:pPr>
      <w:keepNext/>
      <w:keepLines/>
      <w:spacing w:before="200"/>
      <w:outlineLvl w:val="2"/>
    </w:pPr>
    <w:rPr>
      <w:rFonts w:eastAsiaTheme="majorEastAsia" w:cs="Times New Roman"/>
      <w:bCs/>
      <w:i/>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rsid w:val="00D4243C"/>
    <w:pPr>
      <w:ind w:left="720"/>
      <w:contextualSpacing/>
    </w:pPr>
  </w:style>
  <w:style w:type="paragraph" w:styleId="Intestazione">
    <w:name w:val="header"/>
    <w:basedOn w:val="Normale"/>
    <w:link w:val="IntestazioneCarattere"/>
    <w:uiPriority w:val="99"/>
    <w:unhideWhenUsed/>
    <w:rsid w:val="00AA4182"/>
    <w:pPr>
      <w:tabs>
        <w:tab w:val="center" w:pos="4819"/>
        <w:tab w:val="right" w:pos="9638"/>
      </w:tabs>
    </w:pPr>
  </w:style>
  <w:style w:type="character" w:customStyle="1" w:styleId="IntestazioneCarattere">
    <w:name w:val="Intestazione Carattere"/>
    <w:basedOn w:val="Caratterepredefinitoparagrafo"/>
    <w:link w:val="Intestazione"/>
    <w:uiPriority w:val="99"/>
    <w:rsid w:val="00AA4182"/>
  </w:style>
  <w:style w:type="paragraph" w:styleId="Pidipagina">
    <w:name w:val="footer"/>
    <w:basedOn w:val="Normale"/>
    <w:link w:val="PidipaginaCarattere"/>
    <w:uiPriority w:val="99"/>
    <w:unhideWhenUsed/>
    <w:rsid w:val="00AA4182"/>
    <w:pPr>
      <w:tabs>
        <w:tab w:val="center" w:pos="4819"/>
        <w:tab w:val="right" w:pos="9638"/>
      </w:tabs>
    </w:pPr>
  </w:style>
  <w:style w:type="character" w:customStyle="1" w:styleId="PidipaginaCarattere">
    <w:name w:val="Piè di pagina Carattere"/>
    <w:basedOn w:val="Caratterepredefinitoparagrafo"/>
    <w:link w:val="Pidipagina"/>
    <w:uiPriority w:val="99"/>
    <w:rsid w:val="00AA4182"/>
  </w:style>
  <w:style w:type="character" w:styleId="Collegamentoipertestuale">
    <w:name w:val="Hyperlink"/>
    <w:basedOn w:val="Caratterepredefinitoparagrafo"/>
    <w:uiPriority w:val="99"/>
    <w:unhideWhenUsed/>
    <w:rsid w:val="00E80AFB"/>
    <w:rPr>
      <w:color w:val="D2D200" w:themeColor="hyperlink"/>
      <w:u w:val="single"/>
    </w:rPr>
  </w:style>
  <w:style w:type="paragraph" w:styleId="Testonotaapidipagina">
    <w:name w:val="footnote text"/>
    <w:basedOn w:val="Normale"/>
    <w:link w:val="TestonotaapidipaginaCarattere"/>
    <w:uiPriority w:val="99"/>
    <w:unhideWhenUsed/>
    <w:rsid w:val="00D96213"/>
    <w:pPr>
      <w:ind w:firstLine="567"/>
    </w:pPr>
    <w:rPr>
      <w:rFonts w:cs="Times New Roman"/>
      <w:sz w:val="20"/>
      <w:szCs w:val="20"/>
    </w:rPr>
  </w:style>
  <w:style w:type="character" w:customStyle="1" w:styleId="TestonotaapidipaginaCarattere">
    <w:name w:val="Testo nota a piè di pagina Carattere"/>
    <w:basedOn w:val="Caratterepredefinitoparagrafo"/>
    <w:link w:val="Testonotaapidipagina"/>
    <w:uiPriority w:val="99"/>
    <w:rsid w:val="00D96213"/>
    <w:rPr>
      <w:rFonts w:ascii="Times New Roman" w:hAnsi="Times New Roman" w:cs="Times New Roman"/>
      <w:sz w:val="20"/>
      <w:szCs w:val="20"/>
    </w:rPr>
  </w:style>
  <w:style w:type="character" w:styleId="Rimandonotaapidipagina">
    <w:name w:val="footnote reference"/>
    <w:basedOn w:val="Caratterepredefinitoparagrafo"/>
    <w:uiPriority w:val="99"/>
    <w:unhideWhenUsed/>
    <w:rsid w:val="003B2F39"/>
    <w:rPr>
      <w:vertAlign w:val="superscript"/>
    </w:rPr>
  </w:style>
  <w:style w:type="character" w:styleId="Numeropagina">
    <w:name w:val="page number"/>
    <w:basedOn w:val="Caratterepredefinitoparagrafo"/>
    <w:uiPriority w:val="99"/>
    <w:semiHidden/>
    <w:unhideWhenUsed/>
    <w:rsid w:val="003B2F39"/>
  </w:style>
  <w:style w:type="paragraph" w:styleId="Testofumetto">
    <w:name w:val="Balloon Text"/>
    <w:basedOn w:val="Normale"/>
    <w:link w:val="TestofumettoCarattere"/>
    <w:uiPriority w:val="99"/>
    <w:semiHidden/>
    <w:unhideWhenUsed/>
    <w:rsid w:val="00DE49A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E49AA"/>
    <w:rPr>
      <w:rFonts w:ascii="Lucida Grande" w:hAnsi="Lucida Grande" w:cs="Lucida Grande"/>
      <w:sz w:val="18"/>
      <w:szCs w:val="18"/>
    </w:rPr>
  </w:style>
  <w:style w:type="paragraph" w:styleId="Sommario1">
    <w:name w:val="toc 1"/>
    <w:basedOn w:val="Normale"/>
    <w:next w:val="Normale"/>
    <w:autoRedefine/>
    <w:uiPriority w:val="39"/>
    <w:unhideWhenUsed/>
    <w:rsid w:val="00E2643E"/>
    <w:pPr>
      <w:tabs>
        <w:tab w:val="right" w:pos="9622"/>
      </w:tabs>
      <w:spacing w:before="100" w:beforeAutospacing="1" w:line="480" w:lineRule="auto"/>
      <w:ind w:firstLine="0"/>
      <w:jc w:val="center"/>
    </w:pPr>
    <w:rPr>
      <w:b/>
      <w:sz w:val="28"/>
      <w:szCs w:val="22"/>
    </w:rPr>
  </w:style>
  <w:style w:type="paragraph" w:styleId="Sommario2">
    <w:name w:val="toc 2"/>
    <w:basedOn w:val="Normale"/>
    <w:next w:val="Normale"/>
    <w:autoRedefine/>
    <w:uiPriority w:val="39"/>
    <w:unhideWhenUsed/>
    <w:rsid w:val="00AE2802"/>
    <w:pPr>
      <w:tabs>
        <w:tab w:val="right" w:pos="9622"/>
      </w:tabs>
      <w:spacing w:before="120" w:line="480" w:lineRule="auto"/>
      <w:ind w:left="238"/>
    </w:pPr>
    <w:rPr>
      <w:i/>
      <w:sz w:val="28"/>
      <w:szCs w:val="22"/>
    </w:rPr>
  </w:style>
  <w:style w:type="paragraph" w:styleId="Sommario3">
    <w:name w:val="toc 3"/>
    <w:basedOn w:val="Normale"/>
    <w:next w:val="Normale"/>
    <w:autoRedefine/>
    <w:uiPriority w:val="39"/>
    <w:unhideWhenUsed/>
    <w:rsid w:val="001A6F11"/>
    <w:pPr>
      <w:ind w:left="480"/>
    </w:pPr>
    <w:rPr>
      <w:szCs w:val="22"/>
    </w:rPr>
  </w:style>
  <w:style w:type="paragraph" w:styleId="Sommario4">
    <w:name w:val="toc 4"/>
    <w:basedOn w:val="Normale"/>
    <w:next w:val="Normale"/>
    <w:autoRedefine/>
    <w:uiPriority w:val="39"/>
    <w:unhideWhenUsed/>
    <w:rsid w:val="007B1991"/>
    <w:pPr>
      <w:ind w:left="720"/>
    </w:pPr>
    <w:rPr>
      <w:sz w:val="20"/>
      <w:szCs w:val="20"/>
    </w:rPr>
  </w:style>
  <w:style w:type="paragraph" w:styleId="Sommario5">
    <w:name w:val="toc 5"/>
    <w:basedOn w:val="Normale"/>
    <w:next w:val="Normale"/>
    <w:autoRedefine/>
    <w:uiPriority w:val="39"/>
    <w:unhideWhenUsed/>
    <w:rsid w:val="007B1991"/>
    <w:pPr>
      <w:ind w:left="960"/>
    </w:pPr>
    <w:rPr>
      <w:sz w:val="20"/>
      <w:szCs w:val="20"/>
    </w:rPr>
  </w:style>
  <w:style w:type="paragraph" w:styleId="Sommario6">
    <w:name w:val="toc 6"/>
    <w:basedOn w:val="Normale"/>
    <w:next w:val="Normale"/>
    <w:autoRedefine/>
    <w:uiPriority w:val="39"/>
    <w:unhideWhenUsed/>
    <w:rsid w:val="007B1991"/>
    <w:pPr>
      <w:ind w:left="1200"/>
    </w:pPr>
    <w:rPr>
      <w:sz w:val="20"/>
      <w:szCs w:val="20"/>
    </w:rPr>
  </w:style>
  <w:style w:type="paragraph" w:styleId="Sommario7">
    <w:name w:val="toc 7"/>
    <w:basedOn w:val="Normale"/>
    <w:next w:val="Normale"/>
    <w:autoRedefine/>
    <w:uiPriority w:val="39"/>
    <w:unhideWhenUsed/>
    <w:rsid w:val="007B1991"/>
    <w:pPr>
      <w:ind w:left="1440"/>
    </w:pPr>
    <w:rPr>
      <w:sz w:val="20"/>
      <w:szCs w:val="20"/>
    </w:rPr>
  </w:style>
  <w:style w:type="paragraph" w:styleId="Sommario8">
    <w:name w:val="toc 8"/>
    <w:basedOn w:val="Normale"/>
    <w:next w:val="Normale"/>
    <w:autoRedefine/>
    <w:uiPriority w:val="39"/>
    <w:unhideWhenUsed/>
    <w:rsid w:val="007B1991"/>
    <w:pPr>
      <w:ind w:left="1680"/>
    </w:pPr>
    <w:rPr>
      <w:sz w:val="20"/>
      <w:szCs w:val="20"/>
    </w:rPr>
  </w:style>
  <w:style w:type="paragraph" w:styleId="Sommario9">
    <w:name w:val="toc 9"/>
    <w:basedOn w:val="Normale"/>
    <w:next w:val="Normale"/>
    <w:autoRedefine/>
    <w:uiPriority w:val="39"/>
    <w:unhideWhenUsed/>
    <w:rsid w:val="007B1991"/>
    <w:pPr>
      <w:ind w:left="1920"/>
    </w:pPr>
    <w:rPr>
      <w:sz w:val="20"/>
      <w:szCs w:val="20"/>
    </w:rPr>
  </w:style>
  <w:style w:type="paragraph" w:styleId="Indice1">
    <w:name w:val="index 1"/>
    <w:basedOn w:val="Normale"/>
    <w:next w:val="Normale"/>
    <w:autoRedefine/>
    <w:uiPriority w:val="99"/>
    <w:unhideWhenUsed/>
    <w:rsid w:val="007B1991"/>
    <w:pPr>
      <w:ind w:left="240" w:hanging="240"/>
    </w:pPr>
  </w:style>
  <w:style w:type="paragraph" w:styleId="Indice2">
    <w:name w:val="index 2"/>
    <w:basedOn w:val="Normale"/>
    <w:next w:val="Normale"/>
    <w:autoRedefine/>
    <w:uiPriority w:val="99"/>
    <w:unhideWhenUsed/>
    <w:rsid w:val="007B1991"/>
    <w:pPr>
      <w:ind w:left="480" w:hanging="240"/>
    </w:pPr>
  </w:style>
  <w:style w:type="paragraph" w:styleId="Indice3">
    <w:name w:val="index 3"/>
    <w:basedOn w:val="Normale"/>
    <w:next w:val="Normale"/>
    <w:autoRedefine/>
    <w:uiPriority w:val="99"/>
    <w:unhideWhenUsed/>
    <w:rsid w:val="007B1991"/>
    <w:pPr>
      <w:ind w:left="720" w:hanging="240"/>
    </w:pPr>
  </w:style>
  <w:style w:type="paragraph" w:styleId="Indice4">
    <w:name w:val="index 4"/>
    <w:basedOn w:val="Normale"/>
    <w:next w:val="Normale"/>
    <w:autoRedefine/>
    <w:uiPriority w:val="99"/>
    <w:unhideWhenUsed/>
    <w:rsid w:val="007B1991"/>
    <w:pPr>
      <w:ind w:left="960" w:hanging="240"/>
    </w:pPr>
  </w:style>
  <w:style w:type="paragraph" w:styleId="Indice5">
    <w:name w:val="index 5"/>
    <w:basedOn w:val="Normale"/>
    <w:next w:val="Normale"/>
    <w:autoRedefine/>
    <w:uiPriority w:val="99"/>
    <w:unhideWhenUsed/>
    <w:rsid w:val="007B1991"/>
    <w:pPr>
      <w:ind w:left="1200" w:hanging="240"/>
    </w:pPr>
  </w:style>
  <w:style w:type="paragraph" w:styleId="Indice6">
    <w:name w:val="index 6"/>
    <w:basedOn w:val="Normale"/>
    <w:next w:val="Normale"/>
    <w:autoRedefine/>
    <w:uiPriority w:val="99"/>
    <w:unhideWhenUsed/>
    <w:rsid w:val="007B1991"/>
    <w:pPr>
      <w:ind w:left="1440" w:hanging="240"/>
    </w:pPr>
  </w:style>
  <w:style w:type="paragraph" w:styleId="Indice7">
    <w:name w:val="index 7"/>
    <w:basedOn w:val="Normale"/>
    <w:next w:val="Normale"/>
    <w:autoRedefine/>
    <w:uiPriority w:val="99"/>
    <w:unhideWhenUsed/>
    <w:rsid w:val="007B1991"/>
    <w:pPr>
      <w:ind w:left="1680" w:hanging="240"/>
    </w:pPr>
  </w:style>
  <w:style w:type="paragraph" w:styleId="Indice8">
    <w:name w:val="index 8"/>
    <w:basedOn w:val="Normale"/>
    <w:next w:val="Normale"/>
    <w:autoRedefine/>
    <w:uiPriority w:val="99"/>
    <w:unhideWhenUsed/>
    <w:rsid w:val="007B1991"/>
    <w:pPr>
      <w:ind w:left="1920" w:hanging="240"/>
    </w:pPr>
  </w:style>
  <w:style w:type="paragraph" w:styleId="Indice9">
    <w:name w:val="index 9"/>
    <w:basedOn w:val="Normale"/>
    <w:next w:val="Normale"/>
    <w:autoRedefine/>
    <w:uiPriority w:val="99"/>
    <w:unhideWhenUsed/>
    <w:rsid w:val="007B1991"/>
    <w:pPr>
      <w:ind w:left="2160" w:hanging="240"/>
    </w:pPr>
  </w:style>
  <w:style w:type="paragraph" w:styleId="Titoloindice">
    <w:name w:val="index heading"/>
    <w:basedOn w:val="Normale"/>
    <w:next w:val="Indice1"/>
    <w:uiPriority w:val="99"/>
    <w:unhideWhenUsed/>
    <w:rsid w:val="007B1991"/>
  </w:style>
  <w:style w:type="character" w:customStyle="1" w:styleId="Titolo1Carattere">
    <w:name w:val="Titolo 1 Carattere"/>
    <w:basedOn w:val="Caratterepredefinitoparagrafo"/>
    <w:link w:val="Titolo1"/>
    <w:uiPriority w:val="9"/>
    <w:rsid w:val="009125BC"/>
    <w:rPr>
      <w:rFonts w:ascii="Times New Roman" w:eastAsiaTheme="majorEastAsia" w:hAnsi="Times New Roman" w:cs="Times New Roman"/>
      <w:b/>
      <w:bCs/>
      <w:smallCaps/>
      <w:sz w:val="32"/>
      <w:szCs w:val="32"/>
    </w:rPr>
  </w:style>
  <w:style w:type="paragraph" w:styleId="Titolosommario">
    <w:name w:val="TOC Heading"/>
    <w:basedOn w:val="Titolo1"/>
    <w:next w:val="Normale"/>
    <w:uiPriority w:val="39"/>
    <w:unhideWhenUsed/>
    <w:qFormat/>
    <w:rsid w:val="00630033"/>
    <w:pPr>
      <w:spacing w:line="276" w:lineRule="auto"/>
      <w:outlineLvl w:val="9"/>
    </w:pPr>
    <w:rPr>
      <w:sz w:val="28"/>
      <w:szCs w:val="28"/>
    </w:rPr>
  </w:style>
  <w:style w:type="character" w:customStyle="1" w:styleId="Titolo2Carattere">
    <w:name w:val="Titolo 2 Carattere"/>
    <w:basedOn w:val="Caratterepredefinitoparagrafo"/>
    <w:link w:val="Titolo2"/>
    <w:uiPriority w:val="9"/>
    <w:rsid w:val="00AA125E"/>
    <w:rPr>
      <w:rFonts w:ascii="Times New Roman" w:eastAsiaTheme="majorEastAsia" w:hAnsi="Times New Roman" w:cs="Times New Roman"/>
      <w:b/>
      <w:bCs/>
      <w:sz w:val="26"/>
      <w:szCs w:val="26"/>
    </w:rPr>
  </w:style>
  <w:style w:type="character" w:customStyle="1" w:styleId="Titolo3Carattere">
    <w:name w:val="Titolo 3 Carattere"/>
    <w:basedOn w:val="Caratterepredefinitoparagrafo"/>
    <w:link w:val="Titolo3"/>
    <w:uiPriority w:val="9"/>
    <w:rsid w:val="00F133A1"/>
    <w:rPr>
      <w:rFonts w:ascii="Times New Roman" w:eastAsiaTheme="majorEastAsia" w:hAnsi="Times New Roman" w:cs="Times New Roman"/>
      <w:bCs/>
      <w:i/>
    </w:rPr>
  </w:style>
  <w:style w:type="character" w:styleId="Rimandocommento">
    <w:name w:val="annotation reference"/>
    <w:basedOn w:val="Caratterepredefinitoparagrafo"/>
    <w:uiPriority w:val="99"/>
    <w:semiHidden/>
    <w:unhideWhenUsed/>
    <w:rsid w:val="00C77D80"/>
    <w:rPr>
      <w:sz w:val="18"/>
      <w:szCs w:val="18"/>
    </w:rPr>
  </w:style>
  <w:style w:type="paragraph" w:styleId="Testocommento">
    <w:name w:val="annotation text"/>
    <w:basedOn w:val="Normale"/>
    <w:link w:val="TestocommentoCarattere"/>
    <w:uiPriority w:val="99"/>
    <w:semiHidden/>
    <w:unhideWhenUsed/>
    <w:rsid w:val="00C77D80"/>
  </w:style>
  <w:style w:type="character" w:customStyle="1" w:styleId="TestocommentoCarattere">
    <w:name w:val="Testo commento Carattere"/>
    <w:basedOn w:val="Caratterepredefinitoparagrafo"/>
    <w:link w:val="Testocommento"/>
    <w:uiPriority w:val="99"/>
    <w:semiHidden/>
    <w:rsid w:val="00C77D80"/>
  </w:style>
  <w:style w:type="paragraph" w:styleId="Soggettocommento">
    <w:name w:val="annotation subject"/>
    <w:basedOn w:val="Testocommento"/>
    <w:next w:val="Testocommento"/>
    <w:link w:val="SoggettocommentoCarattere"/>
    <w:uiPriority w:val="99"/>
    <w:semiHidden/>
    <w:unhideWhenUsed/>
    <w:rsid w:val="00C77D80"/>
    <w:rPr>
      <w:b/>
      <w:bCs/>
      <w:sz w:val="20"/>
      <w:szCs w:val="20"/>
    </w:rPr>
  </w:style>
  <w:style w:type="character" w:customStyle="1" w:styleId="SoggettocommentoCarattere">
    <w:name w:val="Soggetto commento Carattere"/>
    <w:basedOn w:val="TestocommentoCarattere"/>
    <w:link w:val="Soggettocommento"/>
    <w:uiPriority w:val="99"/>
    <w:semiHidden/>
    <w:rsid w:val="00C77D80"/>
    <w:rPr>
      <w:b/>
      <w:bCs/>
      <w:sz w:val="20"/>
      <w:szCs w:val="20"/>
    </w:rPr>
  </w:style>
  <w:style w:type="paragraph" w:styleId="Testonotadichiusura">
    <w:name w:val="endnote text"/>
    <w:basedOn w:val="Normale"/>
    <w:link w:val="TestonotadichiusuraCarattere"/>
    <w:uiPriority w:val="99"/>
    <w:unhideWhenUsed/>
    <w:rsid w:val="001E3885"/>
  </w:style>
  <w:style w:type="character" w:customStyle="1" w:styleId="TestonotadichiusuraCarattere">
    <w:name w:val="Testo nota di chiusura Carattere"/>
    <w:basedOn w:val="Caratterepredefinitoparagrafo"/>
    <w:link w:val="Testonotadichiusura"/>
    <w:uiPriority w:val="99"/>
    <w:rsid w:val="001E3885"/>
  </w:style>
  <w:style w:type="character" w:styleId="Rimandonotadichiusura">
    <w:name w:val="endnote reference"/>
    <w:basedOn w:val="Caratterepredefinitoparagrafo"/>
    <w:uiPriority w:val="99"/>
    <w:unhideWhenUsed/>
    <w:rsid w:val="001E3885"/>
    <w:rPr>
      <w:vertAlign w:val="superscript"/>
    </w:rPr>
  </w:style>
  <w:style w:type="character" w:styleId="Enfasidelicata">
    <w:name w:val="Subtle Emphasis"/>
    <w:aliases w:val="Nota a piè di pagina"/>
    <w:uiPriority w:val="19"/>
    <w:qFormat/>
    <w:rsid w:val="00893BFC"/>
    <w:rPr>
      <w:rFonts w:ascii="Times New Roman" w:hAnsi="Times New Roman"/>
      <w:sz w:val="20"/>
      <w:szCs w:val="20"/>
      <w:u w:val="none"/>
    </w:rPr>
  </w:style>
  <w:style w:type="paragraph" w:customStyle="1" w:styleId="Default">
    <w:name w:val="Default"/>
    <w:rsid w:val="003632C9"/>
    <w:pPr>
      <w:widowControl w:val="0"/>
      <w:autoSpaceDE w:val="0"/>
      <w:autoSpaceDN w:val="0"/>
      <w:adjustRightInd w:val="0"/>
    </w:pPr>
    <w:rPr>
      <w:rFonts w:ascii="EUAlbertina" w:hAnsi="EUAlbertina" w:cs="EUAlbertina"/>
      <w:color w:val="000000"/>
    </w:rPr>
  </w:style>
  <w:style w:type="paragraph" w:customStyle="1" w:styleId="CM1">
    <w:name w:val="CM1"/>
    <w:basedOn w:val="Default"/>
    <w:next w:val="Default"/>
    <w:uiPriority w:val="99"/>
    <w:rsid w:val="003632C9"/>
    <w:rPr>
      <w:rFonts w:cs="Times New Roman"/>
      <w:color w:val="auto"/>
    </w:rPr>
  </w:style>
  <w:style w:type="paragraph" w:customStyle="1" w:styleId="CM3">
    <w:name w:val="CM3"/>
    <w:basedOn w:val="Default"/>
    <w:next w:val="Default"/>
    <w:uiPriority w:val="99"/>
    <w:rsid w:val="003632C9"/>
    <w:rPr>
      <w:rFonts w:cs="Times New Roman"/>
      <w:color w:val="auto"/>
    </w:rPr>
  </w:style>
  <w:style w:type="character" w:styleId="Collegamentovisitato">
    <w:name w:val="FollowedHyperlink"/>
    <w:basedOn w:val="Caratterepredefinitoparagrafo"/>
    <w:uiPriority w:val="99"/>
    <w:semiHidden/>
    <w:unhideWhenUsed/>
    <w:rsid w:val="004D3978"/>
    <w:rPr>
      <w:color w:val="D0B9F8" w:themeColor="followedHyperlink"/>
      <w:u w:val="single"/>
    </w:rPr>
  </w:style>
  <w:style w:type="paragraph" w:styleId="Revisione">
    <w:name w:val="Revision"/>
    <w:hidden/>
    <w:uiPriority w:val="99"/>
    <w:semiHidden/>
    <w:rsid w:val="00872B36"/>
    <w:rPr>
      <w:rFonts w:ascii="Times New Roman" w:hAnsi="Times New Roman"/>
    </w:rPr>
  </w:style>
  <w:style w:type="paragraph" w:styleId="Mappadocumento">
    <w:name w:val="Document Map"/>
    <w:basedOn w:val="Normale"/>
    <w:link w:val="MappadocumentoCarattere"/>
    <w:uiPriority w:val="99"/>
    <w:semiHidden/>
    <w:unhideWhenUsed/>
    <w:rsid w:val="00872B36"/>
    <w:rPr>
      <w:rFonts w:ascii="Lucida Grande" w:hAnsi="Lucida Grande" w:cs="Lucida Grande"/>
    </w:rPr>
  </w:style>
  <w:style w:type="character" w:customStyle="1" w:styleId="MappadocumentoCarattere">
    <w:name w:val="Mappa documento Carattere"/>
    <w:basedOn w:val="Caratterepredefinitoparagrafo"/>
    <w:link w:val="Mappadocumento"/>
    <w:uiPriority w:val="99"/>
    <w:semiHidden/>
    <w:rsid w:val="00872B36"/>
    <w:rPr>
      <w:rFonts w:ascii="Lucida Grande" w:hAnsi="Lucida Grande" w:cs="Lucida Grande"/>
    </w:rPr>
  </w:style>
  <w:style w:type="character" w:customStyle="1" w:styleId="apple-converted-space">
    <w:name w:val="apple-converted-space"/>
    <w:basedOn w:val="Caratterepredefinitoparagrafo"/>
    <w:rsid w:val="0069666D"/>
  </w:style>
  <w:style w:type="paragraph" w:styleId="NormaleWeb">
    <w:name w:val="Normal (Web)"/>
    <w:basedOn w:val="Normale"/>
    <w:uiPriority w:val="99"/>
    <w:unhideWhenUsed/>
    <w:rsid w:val="004E5A1B"/>
    <w:pPr>
      <w:spacing w:before="100" w:beforeAutospacing="1" w:after="100" w:afterAutospacing="1"/>
      <w:jc w:val="left"/>
    </w:pPr>
    <w:rPr>
      <w:rFonts w:ascii="Times" w:hAnsi="Times" w:cs="Times New Roman"/>
      <w:sz w:val="20"/>
      <w:szCs w:val="20"/>
      <w:lang w:val="en-US"/>
    </w:rPr>
  </w:style>
  <w:style w:type="paragraph" w:customStyle="1" w:styleId="Note">
    <w:name w:val="Note"/>
    <w:basedOn w:val="Normale"/>
    <w:link w:val="NoteCarattere"/>
    <w:qFormat/>
    <w:rsid w:val="004F27FA"/>
    <w:pPr>
      <w:autoSpaceDE w:val="0"/>
      <w:autoSpaceDN w:val="0"/>
      <w:adjustRightInd w:val="0"/>
    </w:pPr>
    <w:rPr>
      <w:rFonts w:cs="Times New Roman"/>
      <w:sz w:val="20"/>
      <w:szCs w:val="20"/>
    </w:rPr>
  </w:style>
  <w:style w:type="character" w:customStyle="1" w:styleId="NoteCarattere">
    <w:name w:val="Note Carattere"/>
    <w:basedOn w:val="Caratterepredefinitoparagrafo"/>
    <w:link w:val="Note"/>
    <w:rsid w:val="004F27FA"/>
    <w:rPr>
      <w:rFonts w:ascii="Times New Roman" w:hAnsi="Times New Roman" w:cs="Times New Roman"/>
      <w:sz w:val="20"/>
      <w:szCs w:val="20"/>
    </w:rPr>
  </w:style>
  <w:style w:type="character" w:customStyle="1" w:styleId="postbox-detected-content">
    <w:name w:val="__postbox-detected-content"/>
    <w:basedOn w:val="Caratterepredefinitoparagrafo"/>
    <w:rsid w:val="004B6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7612">
      <w:bodyDiv w:val="1"/>
      <w:marLeft w:val="0"/>
      <w:marRight w:val="0"/>
      <w:marTop w:val="0"/>
      <w:marBottom w:val="0"/>
      <w:divBdr>
        <w:top w:val="none" w:sz="0" w:space="0" w:color="auto"/>
        <w:left w:val="none" w:sz="0" w:space="0" w:color="auto"/>
        <w:bottom w:val="none" w:sz="0" w:space="0" w:color="auto"/>
        <w:right w:val="none" w:sz="0" w:space="0" w:color="auto"/>
      </w:divBdr>
      <w:divsChild>
        <w:div w:id="1824005536">
          <w:marLeft w:val="0"/>
          <w:marRight w:val="0"/>
          <w:marTop w:val="0"/>
          <w:marBottom w:val="0"/>
          <w:divBdr>
            <w:top w:val="none" w:sz="0" w:space="0" w:color="auto"/>
            <w:left w:val="none" w:sz="0" w:space="0" w:color="auto"/>
            <w:bottom w:val="none" w:sz="0" w:space="0" w:color="auto"/>
            <w:right w:val="none" w:sz="0" w:space="0" w:color="auto"/>
          </w:divBdr>
          <w:divsChild>
            <w:div w:id="1826120941">
              <w:marLeft w:val="0"/>
              <w:marRight w:val="0"/>
              <w:marTop w:val="0"/>
              <w:marBottom w:val="0"/>
              <w:divBdr>
                <w:top w:val="none" w:sz="0" w:space="0" w:color="auto"/>
                <w:left w:val="none" w:sz="0" w:space="0" w:color="auto"/>
                <w:bottom w:val="none" w:sz="0" w:space="0" w:color="auto"/>
                <w:right w:val="none" w:sz="0" w:space="0" w:color="auto"/>
              </w:divBdr>
              <w:divsChild>
                <w:div w:id="18724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41941">
      <w:bodyDiv w:val="1"/>
      <w:marLeft w:val="0"/>
      <w:marRight w:val="0"/>
      <w:marTop w:val="0"/>
      <w:marBottom w:val="0"/>
      <w:divBdr>
        <w:top w:val="none" w:sz="0" w:space="0" w:color="auto"/>
        <w:left w:val="none" w:sz="0" w:space="0" w:color="auto"/>
        <w:bottom w:val="none" w:sz="0" w:space="0" w:color="auto"/>
        <w:right w:val="none" w:sz="0" w:space="0" w:color="auto"/>
      </w:divBdr>
      <w:divsChild>
        <w:div w:id="64113593">
          <w:marLeft w:val="0"/>
          <w:marRight w:val="0"/>
          <w:marTop w:val="0"/>
          <w:marBottom w:val="0"/>
          <w:divBdr>
            <w:top w:val="none" w:sz="0" w:space="0" w:color="auto"/>
            <w:left w:val="none" w:sz="0" w:space="0" w:color="auto"/>
            <w:bottom w:val="none" w:sz="0" w:space="0" w:color="auto"/>
            <w:right w:val="none" w:sz="0" w:space="0" w:color="auto"/>
          </w:divBdr>
          <w:divsChild>
            <w:div w:id="1648388847">
              <w:marLeft w:val="0"/>
              <w:marRight w:val="0"/>
              <w:marTop w:val="0"/>
              <w:marBottom w:val="0"/>
              <w:divBdr>
                <w:top w:val="none" w:sz="0" w:space="0" w:color="auto"/>
                <w:left w:val="none" w:sz="0" w:space="0" w:color="auto"/>
                <w:bottom w:val="none" w:sz="0" w:space="0" w:color="auto"/>
                <w:right w:val="none" w:sz="0" w:space="0" w:color="auto"/>
              </w:divBdr>
              <w:divsChild>
                <w:div w:id="1308558629">
                  <w:marLeft w:val="0"/>
                  <w:marRight w:val="0"/>
                  <w:marTop w:val="0"/>
                  <w:marBottom w:val="0"/>
                  <w:divBdr>
                    <w:top w:val="none" w:sz="0" w:space="0" w:color="auto"/>
                    <w:left w:val="none" w:sz="0" w:space="0" w:color="auto"/>
                    <w:bottom w:val="none" w:sz="0" w:space="0" w:color="auto"/>
                    <w:right w:val="none" w:sz="0" w:space="0" w:color="auto"/>
                  </w:divBdr>
                  <w:divsChild>
                    <w:div w:id="15093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5388">
      <w:bodyDiv w:val="1"/>
      <w:marLeft w:val="0"/>
      <w:marRight w:val="0"/>
      <w:marTop w:val="0"/>
      <w:marBottom w:val="0"/>
      <w:divBdr>
        <w:top w:val="none" w:sz="0" w:space="0" w:color="auto"/>
        <w:left w:val="none" w:sz="0" w:space="0" w:color="auto"/>
        <w:bottom w:val="none" w:sz="0" w:space="0" w:color="auto"/>
        <w:right w:val="none" w:sz="0" w:space="0" w:color="auto"/>
      </w:divBdr>
      <w:divsChild>
        <w:div w:id="276640762">
          <w:marLeft w:val="0"/>
          <w:marRight w:val="0"/>
          <w:marTop w:val="0"/>
          <w:marBottom w:val="0"/>
          <w:divBdr>
            <w:top w:val="none" w:sz="0" w:space="0" w:color="auto"/>
            <w:left w:val="none" w:sz="0" w:space="0" w:color="auto"/>
            <w:bottom w:val="none" w:sz="0" w:space="0" w:color="auto"/>
            <w:right w:val="none" w:sz="0" w:space="0" w:color="auto"/>
          </w:divBdr>
          <w:divsChild>
            <w:div w:id="1365787930">
              <w:marLeft w:val="0"/>
              <w:marRight w:val="0"/>
              <w:marTop w:val="0"/>
              <w:marBottom w:val="0"/>
              <w:divBdr>
                <w:top w:val="none" w:sz="0" w:space="0" w:color="auto"/>
                <w:left w:val="none" w:sz="0" w:space="0" w:color="auto"/>
                <w:bottom w:val="none" w:sz="0" w:space="0" w:color="auto"/>
                <w:right w:val="none" w:sz="0" w:space="0" w:color="auto"/>
              </w:divBdr>
              <w:divsChild>
                <w:div w:id="9414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4451">
      <w:bodyDiv w:val="1"/>
      <w:marLeft w:val="0"/>
      <w:marRight w:val="0"/>
      <w:marTop w:val="0"/>
      <w:marBottom w:val="0"/>
      <w:divBdr>
        <w:top w:val="none" w:sz="0" w:space="0" w:color="auto"/>
        <w:left w:val="none" w:sz="0" w:space="0" w:color="auto"/>
        <w:bottom w:val="none" w:sz="0" w:space="0" w:color="auto"/>
        <w:right w:val="none" w:sz="0" w:space="0" w:color="auto"/>
      </w:divBdr>
      <w:divsChild>
        <w:div w:id="364909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268914">
      <w:bodyDiv w:val="1"/>
      <w:marLeft w:val="0"/>
      <w:marRight w:val="0"/>
      <w:marTop w:val="0"/>
      <w:marBottom w:val="0"/>
      <w:divBdr>
        <w:top w:val="none" w:sz="0" w:space="0" w:color="auto"/>
        <w:left w:val="none" w:sz="0" w:space="0" w:color="auto"/>
        <w:bottom w:val="none" w:sz="0" w:space="0" w:color="auto"/>
        <w:right w:val="none" w:sz="0" w:space="0" w:color="auto"/>
      </w:divBdr>
    </w:div>
    <w:div w:id="891310631">
      <w:bodyDiv w:val="1"/>
      <w:marLeft w:val="0"/>
      <w:marRight w:val="0"/>
      <w:marTop w:val="0"/>
      <w:marBottom w:val="0"/>
      <w:divBdr>
        <w:top w:val="none" w:sz="0" w:space="0" w:color="auto"/>
        <w:left w:val="none" w:sz="0" w:space="0" w:color="auto"/>
        <w:bottom w:val="none" w:sz="0" w:space="0" w:color="auto"/>
        <w:right w:val="none" w:sz="0" w:space="0" w:color="auto"/>
      </w:divBdr>
      <w:divsChild>
        <w:div w:id="1701319796">
          <w:marLeft w:val="0"/>
          <w:marRight w:val="0"/>
          <w:marTop w:val="0"/>
          <w:marBottom w:val="0"/>
          <w:divBdr>
            <w:top w:val="none" w:sz="0" w:space="0" w:color="auto"/>
            <w:left w:val="none" w:sz="0" w:space="0" w:color="auto"/>
            <w:bottom w:val="none" w:sz="0" w:space="0" w:color="auto"/>
            <w:right w:val="none" w:sz="0" w:space="0" w:color="auto"/>
          </w:divBdr>
          <w:divsChild>
            <w:div w:id="202137252">
              <w:marLeft w:val="0"/>
              <w:marRight w:val="0"/>
              <w:marTop w:val="0"/>
              <w:marBottom w:val="0"/>
              <w:divBdr>
                <w:top w:val="none" w:sz="0" w:space="0" w:color="auto"/>
                <w:left w:val="none" w:sz="0" w:space="0" w:color="auto"/>
                <w:bottom w:val="none" w:sz="0" w:space="0" w:color="auto"/>
                <w:right w:val="none" w:sz="0" w:space="0" w:color="auto"/>
              </w:divBdr>
              <w:divsChild>
                <w:div w:id="1437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9741">
      <w:bodyDiv w:val="1"/>
      <w:marLeft w:val="0"/>
      <w:marRight w:val="0"/>
      <w:marTop w:val="0"/>
      <w:marBottom w:val="0"/>
      <w:divBdr>
        <w:top w:val="none" w:sz="0" w:space="0" w:color="auto"/>
        <w:left w:val="none" w:sz="0" w:space="0" w:color="auto"/>
        <w:bottom w:val="none" w:sz="0" w:space="0" w:color="auto"/>
        <w:right w:val="none" w:sz="0" w:space="0" w:color="auto"/>
      </w:divBdr>
    </w:div>
    <w:div w:id="930046656">
      <w:bodyDiv w:val="1"/>
      <w:marLeft w:val="0"/>
      <w:marRight w:val="0"/>
      <w:marTop w:val="0"/>
      <w:marBottom w:val="0"/>
      <w:divBdr>
        <w:top w:val="none" w:sz="0" w:space="0" w:color="auto"/>
        <w:left w:val="none" w:sz="0" w:space="0" w:color="auto"/>
        <w:bottom w:val="none" w:sz="0" w:space="0" w:color="auto"/>
        <w:right w:val="none" w:sz="0" w:space="0" w:color="auto"/>
      </w:divBdr>
    </w:div>
    <w:div w:id="973020545">
      <w:bodyDiv w:val="1"/>
      <w:marLeft w:val="0"/>
      <w:marRight w:val="0"/>
      <w:marTop w:val="0"/>
      <w:marBottom w:val="0"/>
      <w:divBdr>
        <w:top w:val="none" w:sz="0" w:space="0" w:color="auto"/>
        <w:left w:val="none" w:sz="0" w:space="0" w:color="auto"/>
        <w:bottom w:val="none" w:sz="0" w:space="0" w:color="auto"/>
        <w:right w:val="none" w:sz="0" w:space="0" w:color="auto"/>
      </w:divBdr>
      <w:divsChild>
        <w:div w:id="41684570">
          <w:marLeft w:val="0"/>
          <w:marRight w:val="0"/>
          <w:marTop w:val="0"/>
          <w:marBottom w:val="0"/>
          <w:divBdr>
            <w:top w:val="none" w:sz="0" w:space="0" w:color="auto"/>
            <w:left w:val="none" w:sz="0" w:space="0" w:color="auto"/>
            <w:bottom w:val="none" w:sz="0" w:space="0" w:color="auto"/>
            <w:right w:val="none" w:sz="0" w:space="0" w:color="auto"/>
          </w:divBdr>
          <w:divsChild>
            <w:div w:id="301882833">
              <w:marLeft w:val="0"/>
              <w:marRight w:val="0"/>
              <w:marTop w:val="0"/>
              <w:marBottom w:val="0"/>
              <w:divBdr>
                <w:top w:val="none" w:sz="0" w:space="0" w:color="auto"/>
                <w:left w:val="none" w:sz="0" w:space="0" w:color="auto"/>
                <w:bottom w:val="none" w:sz="0" w:space="0" w:color="auto"/>
                <w:right w:val="none" w:sz="0" w:space="0" w:color="auto"/>
              </w:divBdr>
              <w:divsChild>
                <w:div w:id="659236593">
                  <w:marLeft w:val="0"/>
                  <w:marRight w:val="0"/>
                  <w:marTop w:val="0"/>
                  <w:marBottom w:val="0"/>
                  <w:divBdr>
                    <w:top w:val="none" w:sz="0" w:space="0" w:color="auto"/>
                    <w:left w:val="none" w:sz="0" w:space="0" w:color="auto"/>
                    <w:bottom w:val="none" w:sz="0" w:space="0" w:color="auto"/>
                    <w:right w:val="none" w:sz="0" w:space="0" w:color="auto"/>
                  </w:divBdr>
                </w:div>
              </w:divsChild>
            </w:div>
            <w:div w:id="13968030">
              <w:marLeft w:val="0"/>
              <w:marRight w:val="0"/>
              <w:marTop w:val="0"/>
              <w:marBottom w:val="0"/>
              <w:divBdr>
                <w:top w:val="none" w:sz="0" w:space="0" w:color="auto"/>
                <w:left w:val="none" w:sz="0" w:space="0" w:color="auto"/>
                <w:bottom w:val="none" w:sz="0" w:space="0" w:color="auto"/>
                <w:right w:val="none" w:sz="0" w:space="0" w:color="auto"/>
              </w:divBdr>
              <w:divsChild>
                <w:div w:id="737244892">
                  <w:marLeft w:val="0"/>
                  <w:marRight w:val="0"/>
                  <w:marTop w:val="0"/>
                  <w:marBottom w:val="0"/>
                  <w:divBdr>
                    <w:top w:val="none" w:sz="0" w:space="0" w:color="auto"/>
                    <w:left w:val="none" w:sz="0" w:space="0" w:color="auto"/>
                    <w:bottom w:val="none" w:sz="0" w:space="0" w:color="auto"/>
                    <w:right w:val="none" w:sz="0" w:space="0" w:color="auto"/>
                  </w:divBdr>
                </w:div>
              </w:divsChild>
            </w:div>
            <w:div w:id="586231461">
              <w:marLeft w:val="0"/>
              <w:marRight w:val="0"/>
              <w:marTop w:val="0"/>
              <w:marBottom w:val="0"/>
              <w:divBdr>
                <w:top w:val="none" w:sz="0" w:space="0" w:color="auto"/>
                <w:left w:val="none" w:sz="0" w:space="0" w:color="auto"/>
                <w:bottom w:val="none" w:sz="0" w:space="0" w:color="auto"/>
                <w:right w:val="none" w:sz="0" w:space="0" w:color="auto"/>
              </w:divBdr>
              <w:divsChild>
                <w:div w:id="371225459">
                  <w:marLeft w:val="0"/>
                  <w:marRight w:val="0"/>
                  <w:marTop w:val="0"/>
                  <w:marBottom w:val="0"/>
                  <w:divBdr>
                    <w:top w:val="none" w:sz="0" w:space="0" w:color="auto"/>
                    <w:left w:val="none" w:sz="0" w:space="0" w:color="auto"/>
                    <w:bottom w:val="none" w:sz="0" w:space="0" w:color="auto"/>
                    <w:right w:val="none" w:sz="0" w:space="0" w:color="auto"/>
                  </w:divBdr>
                </w:div>
              </w:divsChild>
            </w:div>
            <w:div w:id="175004602">
              <w:marLeft w:val="0"/>
              <w:marRight w:val="0"/>
              <w:marTop w:val="0"/>
              <w:marBottom w:val="0"/>
              <w:divBdr>
                <w:top w:val="none" w:sz="0" w:space="0" w:color="auto"/>
                <w:left w:val="none" w:sz="0" w:space="0" w:color="auto"/>
                <w:bottom w:val="none" w:sz="0" w:space="0" w:color="auto"/>
                <w:right w:val="none" w:sz="0" w:space="0" w:color="auto"/>
              </w:divBdr>
              <w:divsChild>
                <w:div w:id="1984965318">
                  <w:marLeft w:val="0"/>
                  <w:marRight w:val="0"/>
                  <w:marTop w:val="0"/>
                  <w:marBottom w:val="0"/>
                  <w:divBdr>
                    <w:top w:val="none" w:sz="0" w:space="0" w:color="auto"/>
                    <w:left w:val="none" w:sz="0" w:space="0" w:color="auto"/>
                    <w:bottom w:val="none" w:sz="0" w:space="0" w:color="auto"/>
                    <w:right w:val="none" w:sz="0" w:space="0" w:color="auto"/>
                  </w:divBdr>
                </w:div>
              </w:divsChild>
            </w:div>
            <w:div w:id="1032145985">
              <w:marLeft w:val="0"/>
              <w:marRight w:val="0"/>
              <w:marTop w:val="0"/>
              <w:marBottom w:val="0"/>
              <w:divBdr>
                <w:top w:val="none" w:sz="0" w:space="0" w:color="auto"/>
                <w:left w:val="none" w:sz="0" w:space="0" w:color="auto"/>
                <w:bottom w:val="none" w:sz="0" w:space="0" w:color="auto"/>
                <w:right w:val="none" w:sz="0" w:space="0" w:color="auto"/>
              </w:divBdr>
              <w:divsChild>
                <w:div w:id="6161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88358">
          <w:marLeft w:val="0"/>
          <w:marRight w:val="0"/>
          <w:marTop w:val="0"/>
          <w:marBottom w:val="0"/>
          <w:divBdr>
            <w:top w:val="none" w:sz="0" w:space="0" w:color="auto"/>
            <w:left w:val="none" w:sz="0" w:space="0" w:color="auto"/>
            <w:bottom w:val="none" w:sz="0" w:space="0" w:color="auto"/>
            <w:right w:val="none" w:sz="0" w:space="0" w:color="auto"/>
          </w:divBdr>
          <w:divsChild>
            <w:div w:id="887490168">
              <w:marLeft w:val="0"/>
              <w:marRight w:val="0"/>
              <w:marTop w:val="0"/>
              <w:marBottom w:val="0"/>
              <w:divBdr>
                <w:top w:val="none" w:sz="0" w:space="0" w:color="auto"/>
                <w:left w:val="none" w:sz="0" w:space="0" w:color="auto"/>
                <w:bottom w:val="none" w:sz="0" w:space="0" w:color="auto"/>
                <w:right w:val="none" w:sz="0" w:space="0" w:color="auto"/>
              </w:divBdr>
              <w:divsChild>
                <w:div w:id="73231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537558">
      <w:bodyDiv w:val="1"/>
      <w:marLeft w:val="0"/>
      <w:marRight w:val="0"/>
      <w:marTop w:val="0"/>
      <w:marBottom w:val="0"/>
      <w:divBdr>
        <w:top w:val="none" w:sz="0" w:space="0" w:color="auto"/>
        <w:left w:val="none" w:sz="0" w:space="0" w:color="auto"/>
        <w:bottom w:val="none" w:sz="0" w:space="0" w:color="auto"/>
        <w:right w:val="none" w:sz="0" w:space="0" w:color="auto"/>
      </w:divBdr>
      <w:divsChild>
        <w:div w:id="1330795461">
          <w:marLeft w:val="0"/>
          <w:marRight w:val="0"/>
          <w:marTop w:val="0"/>
          <w:marBottom w:val="0"/>
          <w:divBdr>
            <w:top w:val="none" w:sz="0" w:space="0" w:color="auto"/>
            <w:left w:val="none" w:sz="0" w:space="0" w:color="auto"/>
            <w:bottom w:val="none" w:sz="0" w:space="0" w:color="auto"/>
            <w:right w:val="none" w:sz="0" w:space="0" w:color="auto"/>
          </w:divBdr>
          <w:divsChild>
            <w:div w:id="1209026831">
              <w:marLeft w:val="0"/>
              <w:marRight w:val="0"/>
              <w:marTop w:val="0"/>
              <w:marBottom w:val="0"/>
              <w:divBdr>
                <w:top w:val="none" w:sz="0" w:space="0" w:color="auto"/>
                <w:left w:val="none" w:sz="0" w:space="0" w:color="auto"/>
                <w:bottom w:val="none" w:sz="0" w:space="0" w:color="auto"/>
                <w:right w:val="none" w:sz="0" w:space="0" w:color="auto"/>
              </w:divBdr>
              <w:divsChild>
                <w:div w:id="1012145199">
                  <w:marLeft w:val="0"/>
                  <w:marRight w:val="0"/>
                  <w:marTop w:val="0"/>
                  <w:marBottom w:val="0"/>
                  <w:divBdr>
                    <w:top w:val="none" w:sz="0" w:space="0" w:color="auto"/>
                    <w:left w:val="none" w:sz="0" w:space="0" w:color="auto"/>
                    <w:bottom w:val="none" w:sz="0" w:space="0" w:color="auto"/>
                    <w:right w:val="none" w:sz="0" w:space="0" w:color="auto"/>
                  </w:divBdr>
                  <w:divsChild>
                    <w:div w:id="500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024570">
      <w:bodyDiv w:val="1"/>
      <w:marLeft w:val="0"/>
      <w:marRight w:val="0"/>
      <w:marTop w:val="0"/>
      <w:marBottom w:val="0"/>
      <w:divBdr>
        <w:top w:val="none" w:sz="0" w:space="0" w:color="auto"/>
        <w:left w:val="none" w:sz="0" w:space="0" w:color="auto"/>
        <w:bottom w:val="none" w:sz="0" w:space="0" w:color="auto"/>
        <w:right w:val="none" w:sz="0" w:space="0" w:color="auto"/>
      </w:divBdr>
      <w:divsChild>
        <w:div w:id="816991323">
          <w:marLeft w:val="0"/>
          <w:marRight w:val="0"/>
          <w:marTop w:val="0"/>
          <w:marBottom w:val="0"/>
          <w:divBdr>
            <w:top w:val="none" w:sz="0" w:space="0" w:color="auto"/>
            <w:left w:val="none" w:sz="0" w:space="0" w:color="auto"/>
            <w:bottom w:val="none" w:sz="0" w:space="0" w:color="auto"/>
            <w:right w:val="none" w:sz="0" w:space="0" w:color="auto"/>
          </w:divBdr>
          <w:divsChild>
            <w:div w:id="504783286">
              <w:marLeft w:val="0"/>
              <w:marRight w:val="0"/>
              <w:marTop w:val="0"/>
              <w:marBottom w:val="0"/>
              <w:divBdr>
                <w:top w:val="none" w:sz="0" w:space="0" w:color="auto"/>
                <w:left w:val="none" w:sz="0" w:space="0" w:color="auto"/>
                <w:bottom w:val="none" w:sz="0" w:space="0" w:color="auto"/>
                <w:right w:val="none" w:sz="0" w:space="0" w:color="auto"/>
              </w:divBdr>
              <w:divsChild>
                <w:div w:id="7167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74281">
      <w:bodyDiv w:val="1"/>
      <w:marLeft w:val="0"/>
      <w:marRight w:val="0"/>
      <w:marTop w:val="0"/>
      <w:marBottom w:val="0"/>
      <w:divBdr>
        <w:top w:val="none" w:sz="0" w:space="0" w:color="auto"/>
        <w:left w:val="none" w:sz="0" w:space="0" w:color="auto"/>
        <w:bottom w:val="none" w:sz="0" w:space="0" w:color="auto"/>
        <w:right w:val="none" w:sz="0" w:space="0" w:color="auto"/>
      </w:divBdr>
      <w:divsChild>
        <w:div w:id="1748503683">
          <w:marLeft w:val="0"/>
          <w:marRight w:val="0"/>
          <w:marTop w:val="0"/>
          <w:marBottom w:val="0"/>
          <w:divBdr>
            <w:top w:val="none" w:sz="0" w:space="0" w:color="auto"/>
            <w:left w:val="none" w:sz="0" w:space="0" w:color="auto"/>
            <w:bottom w:val="none" w:sz="0" w:space="0" w:color="auto"/>
            <w:right w:val="none" w:sz="0" w:space="0" w:color="auto"/>
          </w:divBdr>
        </w:div>
        <w:div w:id="65108364">
          <w:marLeft w:val="0"/>
          <w:marRight w:val="0"/>
          <w:marTop w:val="0"/>
          <w:marBottom w:val="0"/>
          <w:divBdr>
            <w:top w:val="none" w:sz="0" w:space="0" w:color="auto"/>
            <w:left w:val="none" w:sz="0" w:space="0" w:color="auto"/>
            <w:bottom w:val="none" w:sz="0" w:space="0" w:color="auto"/>
            <w:right w:val="none" w:sz="0" w:space="0" w:color="auto"/>
          </w:divBdr>
        </w:div>
        <w:div w:id="388308766">
          <w:marLeft w:val="0"/>
          <w:marRight w:val="0"/>
          <w:marTop w:val="0"/>
          <w:marBottom w:val="0"/>
          <w:divBdr>
            <w:top w:val="none" w:sz="0" w:space="0" w:color="auto"/>
            <w:left w:val="none" w:sz="0" w:space="0" w:color="auto"/>
            <w:bottom w:val="none" w:sz="0" w:space="0" w:color="auto"/>
            <w:right w:val="none" w:sz="0" w:space="0" w:color="auto"/>
          </w:divBdr>
        </w:div>
      </w:divsChild>
    </w:div>
    <w:div w:id="1583950874">
      <w:bodyDiv w:val="1"/>
      <w:marLeft w:val="0"/>
      <w:marRight w:val="0"/>
      <w:marTop w:val="0"/>
      <w:marBottom w:val="0"/>
      <w:divBdr>
        <w:top w:val="none" w:sz="0" w:space="0" w:color="auto"/>
        <w:left w:val="none" w:sz="0" w:space="0" w:color="auto"/>
        <w:bottom w:val="none" w:sz="0" w:space="0" w:color="auto"/>
        <w:right w:val="none" w:sz="0" w:space="0" w:color="auto"/>
      </w:divBdr>
    </w:div>
    <w:div w:id="2128117675">
      <w:bodyDiv w:val="1"/>
      <w:marLeft w:val="0"/>
      <w:marRight w:val="0"/>
      <w:marTop w:val="0"/>
      <w:marBottom w:val="0"/>
      <w:divBdr>
        <w:top w:val="none" w:sz="0" w:space="0" w:color="auto"/>
        <w:left w:val="none" w:sz="0" w:space="0" w:color="auto"/>
        <w:bottom w:val="none" w:sz="0" w:space="0" w:color="auto"/>
        <w:right w:val="none" w:sz="0" w:space="0" w:color="auto"/>
      </w:divBdr>
      <w:divsChild>
        <w:div w:id="547493706">
          <w:marLeft w:val="0"/>
          <w:marRight w:val="0"/>
          <w:marTop w:val="0"/>
          <w:marBottom w:val="0"/>
          <w:divBdr>
            <w:top w:val="none" w:sz="0" w:space="0" w:color="auto"/>
            <w:left w:val="none" w:sz="0" w:space="0" w:color="auto"/>
            <w:bottom w:val="none" w:sz="0" w:space="0" w:color="auto"/>
            <w:right w:val="none" w:sz="0" w:space="0" w:color="auto"/>
          </w:divBdr>
          <w:divsChild>
            <w:div w:id="1000425905">
              <w:marLeft w:val="0"/>
              <w:marRight w:val="0"/>
              <w:marTop w:val="0"/>
              <w:marBottom w:val="0"/>
              <w:divBdr>
                <w:top w:val="none" w:sz="0" w:space="0" w:color="auto"/>
                <w:left w:val="none" w:sz="0" w:space="0" w:color="auto"/>
                <w:bottom w:val="none" w:sz="0" w:space="0" w:color="auto"/>
                <w:right w:val="none" w:sz="0" w:space="0" w:color="auto"/>
              </w:divBdr>
              <w:divsChild>
                <w:div w:id="106707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75309">
      <w:bodyDiv w:val="1"/>
      <w:marLeft w:val="0"/>
      <w:marRight w:val="0"/>
      <w:marTop w:val="0"/>
      <w:marBottom w:val="0"/>
      <w:divBdr>
        <w:top w:val="none" w:sz="0" w:space="0" w:color="auto"/>
        <w:left w:val="none" w:sz="0" w:space="0" w:color="auto"/>
        <w:bottom w:val="none" w:sz="0" w:space="0" w:color="auto"/>
        <w:right w:val="none" w:sz="0" w:space="0" w:color="auto"/>
      </w:divBdr>
      <w:divsChild>
        <w:div w:id="1968120327">
          <w:marLeft w:val="0"/>
          <w:marRight w:val="0"/>
          <w:marTop w:val="0"/>
          <w:marBottom w:val="0"/>
          <w:divBdr>
            <w:top w:val="none" w:sz="0" w:space="0" w:color="auto"/>
            <w:left w:val="none" w:sz="0" w:space="0" w:color="auto"/>
            <w:bottom w:val="none" w:sz="0" w:space="0" w:color="auto"/>
            <w:right w:val="none" w:sz="0" w:space="0" w:color="auto"/>
          </w:divBdr>
          <w:divsChild>
            <w:div w:id="1466846600">
              <w:marLeft w:val="0"/>
              <w:marRight w:val="0"/>
              <w:marTop w:val="0"/>
              <w:marBottom w:val="0"/>
              <w:divBdr>
                <w:top w:val="none" w:sz="0" w:space="0" w:color="auto"/>
                <w:left w:val="none" w:sz="0" w:space="0" w:color="auto"/>
                <w:bottom w:val="none" w:sz="0" w:space="0" w:color="auto"/>
                <w:right w:val="none" w:sz="0" w:space="0" w:color="auto"/>
              </w:divBdr>
              <w:divsChild>
                <w:div w:id="1094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ebint.consob/xp-cgi/cgixpd.exe?exec=DOCUMENT&amp;fnmd=../template/provvedimenti/fr_prov5.htm&amp;q_ft_rname=d14468.htm" TargetMode="External"/><Relationship Id="rId2" Type="http://schemas.openxmlformats.org/officeDocument/2006/relationships/hyperlink" Target="http://www.consob.it/main/documenti/bollettino2005/d15131.htm" TargetMode="External"/></Relationships>
</file>

<file path=word/theme/theme1.xml><?xml version="1.0" encoding="utf-8"?>
<a:theme xmlns:a="http://schemas.openxmlformats.org/drawingml/2006/main" name="Tema di Office">
  <a:themeElements>
    <a:clrScheme name="Esposizione">
      <a:dk1>
        <a:sysClr val="windowText" lastClr="000000"/>
      </a:dk1>
      <a:lt1>
        <a:sysClr val="window" lastClr="FFFFFF"/>
      </a:lt1>
      <a:dk2>
        <a:srgbClr val="263B86"/>
      </a:dk2>
      <a:lt2>
        <a:srgbClr val="76B6F2"/>
      </a:lt2>
      <a:accent1>
        <a:srgbClr val="FBC01E"/>
      </a:accent1>
      <a:accent2>
        <a:srgbClr val="EFE1A2"/>
      </a:accent2>
      <a:accent3>
        <a:srgbClr val="FA8716"/>
      </a:accent3>
      <a:accent4>
        <a:srgbClr val="BE0204"/>
      </a:accent4>
      <a:accent5>
        <a:srgbClr val="640F10"/>
      </a:accent5>
      <a:accent6>
        <a:srgbClr val="7E13E3"/>
      </a:accent6>
      <a:hlink>
        <a:srgbClr val="D2D200"/>
      </a:hlink>
      <a:folHlink>
        <a:srgbClr val="D0B9F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9DD28-DE5F-8641-BBAD-01A9365FF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44</Pages>
  <Words>15465</Words>
  <Characters>88155</Characters>
  <Application>Microsoft Macintosh Word</Application>
  <DocSecurity>0</DocSecurity>
  <Lines>734</Lines>
  <Paragraphs>206</Paragraphs>
  <ScaleCrop>false</ScaleCrop>
  <Company/>
  <LinksUpToDate>false</LinksUpToDate>
  <CharactersWithSpaces>103414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Reboa</dc:creator>
  <cp:keywords/>
  <dc:description/>
  <cp:lastModifiedBy>Massimo Reboa</cp:lastModifiedBy>
  <cp:revision>41</cp:revision>
  <cp:lastPrinted>2014-11-09T15:55:00Z</cp:lastPrinted>
  <dcterms:created xsi:type="dcterms:W3CDTF">2014-11-16T22:21:00Z</dcterms:created>
  <dcterms:modified xsi:type="dcterms:W3CDTF">2014-11-18T09:42:00Z</dcterms:modified>
</cp:coreProperties>
</file>